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CA96D" w14:textId="77777777" w:rsidR="00BF72E6" w:rsidRPr="00BF72E6" w:rsidRDefault="00BF72E6" w:rsidP="00BF72E6">
      <w:pPr>
        <w:rPr>
          <w:rFonts w:ascii="Lato" w:hAnsi="Lato"/>
          <w:b/>
          <w:bCs/>
          <w:color w:val="676767"/>
          <w:sz w:val="46"/>
          <w:szCs w:val="144"/>
          <w:lang w:val="fr-FR"/>
        </w:rPr>
      </w:pPr>
      <w:r w:rsidRPr="00BF72E6">
        <w:rPr>
          <w:rFonts w:ascii="Lato" w:hAnsi="Lato"/>
          <w:b/>
          <w:bCs/>
          <w:color w:val="676767"/>
          <w:sz w:val="46"/>
          <w:szCs w:val="144"/>
          <w:lang w:val="fr-FR"/>
        </w:rPr>
        <w:t xml:space="preserve">Les Masters de tennis. </w:t>
      </w:r>
      <w:proofErr w:type="spellStart"/>
      <w:r w:rsidRPr="00BF72E6">
        <w:rPr>
          <w:rFonts w:ascii="Lato" w:hAnsi="Lato"/>
          <w:b/>
          <w:bCs/>
          <w:color w:val="676767"/>
          <w:sz w:val="46"/>
          <w:szCs w:val="144"/>
          <w:lang w:val="fr-FR"/>
        </w:rPr>
        <w:t>Nitto</w:t>
      </w:r>
      <w:proofErr w:type="spellEnd"/>
      <w:r w:rsidRPr="00BF72E6">
        <w:rPr>
          <w:rFonts w:ascii="Lato" w:hAnsi="Lato"/>
          <w:b/>
          <w:bCs/>
          <w:color w:val="676767"/>
          <w:sz w:val="46"/>
          <w:szCs w:val="144"/>
          <w:lang w:val="fr-FR"/>
        </w:rPr>
        <w:t xml:space="preserve"> contre </w:t>
      </w:r>
      <w:proofErr w:type="spellStart"/>
      <w:r w:rsidRPr="00BF72E6">
        <w:rPr>
          <w:rFonts w:ascii="Lato" w:hAnsi="Lato"/>
          <w:b/>
          <w:bCs/>
          <w:color w:val="676767"/>
          <w:sz w:val="46"/>
          <w:szCs w:val="144"/>
          <w:lang w:val="fr-FR"/>
        </w:rPr>
        <w:t>Next</w:t>
      </w:r>
      <w:proofErr w:type="spellEnd"/>
      <w:r w:rsidRPr="00BF72E6">
        <w:rPr>
          <w:rFonts w:ascii="Lato" w:hAnsi="Lato"/>
          <w:b/>
          <w:bCs/>
          <w:color w:val="676767"/>
          <w:sz w:val="46"/>
          <w:szCs w:val="144"/>
          <w:lang w:val="fr-FR"/>
        </w:rPr>
        <w:t xml:space="preserve"> </w:t>
      </w:r>
      <w:proofErr w:type="spellStart"/>
      <w:r w:rsidRPr="00BF72E6">
        <w:rPr>
          <w:rFonts w:ascii="Lato" w:hAnsi="Lato"/>
          <w:b/>
          <w:bCs/>
          <w:color w:val="676767"/>
          <w:sz w:val="46"/>
          <w:szCs w:val="144"/>
          <w:lang w:val="fr-FR"/>
        </w:rPr>
        <w:t>Generation</w:t>
      </w:r>
      <w:proofErr w:type="spellEnd"/>
      <w:r w:rsidRPr="00BF72E6">
        <w:rPr>
          <w:rFonts w:ascii="Lato" w:hAnsi="Lato"/>
          <w:b/>
          <w:bCs/>
          <w:color w:val="676767"/>
          <w:sz w:val="46"/>
          <w:szCs w:val="144"/>
          <w:lang w:val="fr-FR"/>
        </w:rPr>
        <w:t> ATP Finals</w:t>
      </w:r>
    </w:p>
    <w:p w14:paraId="3F9A2E72" w14:textId="00734CAC" w:rsidR="00BF72E6" w:rsidRPr="00BF72E6" w:rsidRDefault="00BF72E6" w:rsidP="00BF72E6">
      <w:pPr>
        <w:rPr>
          <w:rFonts w:ascii="Lato" w:hAnsi="Lato"/>
          <w:sz w:val="24"/>
          <w:szCs w:val="24"/>
          <w:vertAlign w:val="superscript"/>
        </w:rPr>
      </w:pPr>
      <w:r w:rsidRPr="00BF72E6">
        <w:rPr>
          <w:rFonts w:ascii="Lato" w:hAnsi="Lato"/>
          <w:sz w:val="24"/>
          <w:szCs w:val="24"/>
          <w:lang w:val="es-ES"/>
        </w:rPr>
        <w:t>Alejandro Sánchez-</w:t>
      </w:r>
      <w:proofErr w:type="spellStart"/>
      <w:r w:rsidRPr="00BF72E6">
        <w:rPr>
          <w:rFonts w:ascii="Lato" w:hAnsi="Lato"/>
          <w:sz w:val="24"/>
          <w:szCs w:val="24"/>
          <w:lang w:val="es-ES"/>
        </w:rPr>
        <w:t>Pay</w:t>
      </w:r>
      <w:proofErr w:type="spellEnd"/>
      <w:r w:rsidRPr="00BF72E6">
        <w:rPr>
          <w:rFonts w:ascii="Lato" w:hAnsi="Lato"/>
          <w:sz w:val="24"/>
          <w:szCs w:val="24"/>
          <w:lang w:val="es-ES"/>
        </w:rPr>
        <w:t xml:space="preserve"> </w:t>
      </w:r>
      <w:r w:rsidRPr="00BF72E6">
        <w:rPr>
          <w:rFonts w:ascii="Lato" w:hAnsi="Lato"/>
          <w:sz w:val="24"/>
          <w:szCs w:val="24"/>
          <w:vertAlign w:val="superscript"/>
        </w:rPr>
        <w:t xml:space="preserve">a  </w:t>
      </w:r>
      <w:r w:rsidRPr="00BF72E6">
        <w:rPr>
          <w:rFonts w:ascii="Lato" w:hAnsi="Lato"/>
          <w:noProof/>
          <w:sz w:val="24"/>
          <w:szCs w:val="24"/>
        </w:rPr>
        <w:drawing>
          <wp:inline distT="0" distB="0" distL="0" distR="0" wp14:anchorId="7E51AAD0" wp14:editId="1E12F3C3">
            <wp:extent cx="133985" cy="133985"/>
            <wp:effectExtent l="0" t="0" r="0" b="0"/>
            <wp:docPr id="5" name="image3.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85" cy="133985"/>
                    </a:xfrm>
                    <a:prstGeom prst="rect">
                      <a:avLst/>
                    </a:prstGeom>
                  </pic:spPr>
                </pic:pic>
              </a:graphicData>
            </a:graphic>
          </wp:inline>
        </w:drawing>
      </w:r>
      <w:r w:rsidRPr="00BF72E6">
        <w:rPr>
          <w:rFonts w:ascii="Lato" w:hAnsi="Lato"/>
          <w:sz w:val="24"/>
          <w:szCs w:val="24"/>
          <w:lang w:val="es-ES"/>
        </w:rPr>
        <w:t xml:space="preserve">, José Julián Navarro-Cuenca, </w:t>
      </w:r>
      <w:r w:rsidR="005A7591">
        <w:rPr>
          <w:rFonts w:ascii="Lato" w:hAnsi="Lato"/>
          <w:sz w:val="24"/>
          <w:szCs w:val="24"/>
          <w:lang w:val="es-ES"/>
        </w:rPr>
        <w:t xml:space="preserve">&amp; </w:t>
      </w:r>
      <w:r w:rsidRPr="00BF72E6">
        <w:rPr>
          <w:rFonts w:ascii="Lato" w:hAnsi="Lato"/>
          <w:sz w:val="24"/>
          <w:szCs w:val="24"/>
          <w:lang w:val="es-ES"/>
        </w:rPr>
        <w:t>Bernardino J. Sánchez- Alcaraz</w:t>
      </w:r>
      <w:r w:rsidRPr="00BF72E6">
        <w:rPr>
          <w:rFonts w:ascii="Lato" w:hAnsi="Lato"/>
          <w:sz w:val="24"/>
          <w:szCs w:val="24"/>
          <w:vertAlign w:val="superscript"/>
        </w:rPr>
        <w:t xml:space="preserve"> a </w:t>
      </w:r>
    </w:p>
    <w:p w14:paraId="18F4B1B2" w14:textId="6762B200" w:rsidR="00BF72E6" w:rsidRPr="00BF72E6" w:rsidRDefault="00BF72E6" w:rsidP="00BF72E6">
      <w:pPr>
        <w:rPr>
          <w:rFonts w:ascii="Lato" w:hAnsi="Lato"/>
          <w:b/>
          <w:bCs/>
          <w:i/>
          <w:iCs/>
          <w:sz w:val="24"/>
          <w:szCs w:val="24"/>
        </w:rPr>
      </w:pPr>
      <w:proofErr w:type="gramStart"/>
      <w:r w:rsidRPr="00BF72E6">
        <w:rPr>
          <w:rFonts w:ascii="Lato" w:hAnsi="Lato"/>
          <w:sz w:val="24"/>
          <w:szCs w:val="24"/>
          <w:vertAlign w:val="superscript"/>
        </w:rPr>
        <w:t>a</w:t>
      </w:r>
      <w:proofErr w:type="gramEnd"/>
      <w:r w:rsidRPr="00BF72E6">
        <w:rPr>
          <w:rFonts w:ascii="Lato" w:hAnsi="Lato"/>
          <w:sz w:val="24"/>
          <w:szCs w:val="24"/>
          <w:vertAlign w:val="superscript"/>
        </w:rPr>
        <w:t xml:space="preserve"> </w:t>
      </w:r>
      <w:proofErr w:type="spellStart"/>
      <w:r w:rsidR="005B4457" w:rsidRPr="005B4457">
        <w:rPr>
          <w:rFonts w:ascii="Lato" w:hAnsi="Lato"/>
          <w:bCs/>
          <w:iCs/>
          <w:sz w:val="24"/>
          <w:szCs w:val="24"/>
        </w:rPr>
        <w:t>Département</w:t>
      </w:r>
      <w:proofErr w:type="spellEnd"/>
      <w:r w:rsidR="005B4457" w:rsidRPr="005B4457">
        <w:rPr>
          <w:rFonts w:ascii="Lato" w:hAnsi="Lato"/>
          <w:bCs/>
          <w:iCs/>
          <w:sz w:val="24"/>
          <w:szCs w:val="24"/>
        </w:rPr>
        <w:t xml:space="preserve"> de </w:t>
      </w:r>
      <w:proofErr w:type="spellStart"/>
      <w:r w:rsidR="005B4457" w:rsidRPr="005B4457">
        <w:rPr>
          <w:rFonts w:ascii="Lato" w:hAnsi="Lato"/>
          <w:bCs/>
          <w:iCs/>
          <w:sz w:val="24"/>
          <w:szCs w:val="24"/>
        </w:rPr>
        <w:t>l'activité</w:t>
      </w:r>
      <w:proofErr w:type="spellEnd"/>
      <w:r w:rsidR="005B4457" w:rsidRPr="005B4457">
        <w:rPr>
          <w:rFonts w:ascii="Lato" w:hAnsi="Lato"/>
          <w:bCs/>
          <w:iCs/>
          <w:sz w:val="24"/>
          <w:szCs w:val="24"/>
        </w:rPr>
        <w:t xml:space="preserve"> physique et des sports, Universidad de Murcia, </w:t>
      </w:r>
      <w:proofErr w:type="spellStart"/>
      <w:r w:rsidR="005B4457" w:rsidRPr="005B4457">
        <w:rPr>
          <w:rFonts w:ascii="Lato" w:hAnsi="Lato"/>
          <w:bCs/>
          <w:iCs/>
          <w:sz w:val="24"/>
          <w:szCs w:val="24"/>
        </w:rPr>
        <w:t>Murcie</w:t>
      </w:r>
      <w:proofErr w:type="spellEnd"/>
      <w:r w:rsidR="005B4457" w:rsidRPr="005B4457">
        <w:rPr>
          <w:rFonts w:ascii="Lato" w:hAnsi="Lato"/>
          <w:bCs/>
          <w:iCs/>
          <w:sz w:val="24"/>
          <w:szCs w:val="24"/>
        </w:rPr>
        <w:t xml:space="preserve">, </w:t>
      </w:r>
      <w:proofErr w:type="spellStart"/>
      <w:r w:rsidR="005B4457" w:rsidRPr="005B4457">
        <w:rPr>
          <w:rFonts w:ascii="Lato" w:hAnsi="Lato"/>
          <w:bCs/>
          <w:iCs/>
          <w:sz w:val="24"/>
          <w:szCs w:val="24"/>
        </w:rPr>
        <w:t>Espagne</w:t>
      </w:r>
      <w:proofErr w:type="spellEnd"/>
      <w:r w:rsidRPr="00BF72E6">
        <w:rPr>
          <w:rFonts w:ascii="Lato" w:hAnsi="Lato"/>
          <w:bCs/>
          <w:iCs/>
          <w:sz w:val="24"/>
          <w:szCs w:val="24"/>
        </w:rPr>
        <w:t>.</w:t>
      </w:r>
    </w:p>
    <w:p w14:paraId="143C30E5" w14:textId="40020149" w:rsidR="002F0D43" w:rsidRDefault="00E641B9">
      <w:pPr>
        <w:rPr>
          <w:rStyle w:val="fontstyle01"/>
          <w:rFonts w:ascii="Lato" w:hAnsi="Lato"/>
        </w:rPr>
      </w:pPr>
      <w:r w:rsidRPr="003529F9">
        <w:rPr>
          <w:rFonts w:ascii="Lato" w:hAnsi="Lato"/>
          <w:noProof/>
          <w:color w:val="000000"/>
          <w:sz w:val="18"/>
          <w:szCs w:val="18"/>
        </w:rPr>
        <mc:AlternateContent>
          <mc:Choice Requires="wps">
            <w:drawing>
              <wp:anchor distT="0" distB="0" distL="114300" distR="114300" simplePos="0" relativeHeight="251657215" behindDoc="1" locked="0" layoutInCell="1" allowOverlap="1" wp14:anchorId="6BF07D99" wp14:editId="6C5BE32C">
                <wp:simplePos x="0" y="0"/>
                <wp:positionH relativeFrom="column">
                  <wp:posOffset>-138223</wp:posOffset>
                </wp:positionH>
                <wp:positionV relativeFrom="paragraph">
                  <wp:posOffset>169560</wp:posOffset>
                </wp:positionV>
                <wp:extent cx="4593265" cy="2222204"/>
                <wp:effectExtent l="0" t="0" r="0" b="6985"/>
                <wp:wrapNone/>
                <wp:docPr id="6" name="Rectángulo 6"/>
                <wp:cNvGraphicFramePr/>
                <a:graphic xmlns:a="http://schemas.openxmlformats.org/drawingml/2006/main">
                  <a:graphicData uri="http://schemas.microsoft.com/office/word/2010/wordprocessingShape">
                    <wps:wsp>
                      <wps:cNvSpPr/>
                      <wps:spPr>
                        <a:xfrm>
                          <a:off x="0" y="0"/>
                          <a:ext cx="4593265" cy="2222204"/>
                        </a:xfrm>
                        <a:prstGeom prst="rect">
                          <a:avLst/>
                        </a:prstGeom>
                        <a:solidFill>
                          <a:srgbClr val="F9F9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10.9pt;margin-top:13.35pt;width:361.65pt;height: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" fillcolor="#f9f9f9" stroked="f"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2"/>
        <w:gridCol w:w="222"/>
        <w:gridCol w:w="1717"/>
      </w:tblGrid>
      <w:tr w:rsidR="005E7B8F" w:rsidRPr="00C242B7" w14:paraId="6E63B02B" w14:textId="77777777" w:rsidTr="009D4779">
        <w:tc>
          <w:tcPr>
            <w:tcW w:w="7422" w:type="dxa"/>
            <w:shd w:val="clear" w:color="auto" w:fill="auto"/>
          </w:tcPr>
          <w:p w14:paraId="4C9EA253" w14:textId="0100FE31" w:rsidR="00435C35" w:rsidRPr="003529F9" w:rsidRDefault="00B54298" w:rsidP="002F0D43">
            <w:pPr>
              <w:jc w:val="both"/>
              <w:rPr>
                <w:rFonts w:ascii="Lato-Black" w:hAnsi="Lato-Black"/>
                <w:color w:val="008F70"/>
                <w:sz w:val="18"/>
                <w:szCs w:val="18"/>
              </w:rPr>
            </w:pPr>
            <w:r w:rsidRPr="00597755">
              <w:rPr>
                <w:rFonts w:ascii="Lato-Black" w:hAnsi="Lato-Black"/>
                <w:color w:val="008F70"/>
                <w:sz w:val="18"/>
                <w:szCs w:val="18"/>
                <w:lang w:val="fr-FR"/>
              </w:rPr>
              <w:t>RÉSUMÉ</w:t>
            </w:r>
          </w:p>
          <w:p w14:paraId="59624D4E" w14:textId="77777777" w:rsidR="00435C35" w:rsidRDefault="00435C35" w:rsidP="002F0D43">
            <w:pPr>
              <w:jc w:val="both"/>
              <w:rPr>
                <w:rFonts w:ascii="Lato" w:hAnsi="Lato"/>
                <w:color w:val="000000"/>
                <w:sz w:val="18"/>
                <w:szCs w:val="18"/>
              </w:rPr>
            </w:pPr>
          </w:p>
          <w:p w14:paraId="7DF42920" w14:textId="77777777" w:rsidR="0025568E" w:rsidRPr="0025568E" w:rsidRDefault="0025568E" w:rsidP="0025568E">
            <w:pPr>
              <w:jc w:val="both"/>
              <w:rPr>
                <w:rFonts w:ascii="Lato" w:hAnsi="Lato"/>
                <w:color w:val="000000"/>
                <w:sz w:val="18"/>
                <w:szCs w:val="18"/>
                <w:lang w:val="fr-FR"/>
              </w:rPr>
            </w:pPr>
            <w:r w:rsidRPr="0025568E">
              <w:rPr>
                <w:rFonts w:ascii="Lato" w:hAnsi="Lato"/>
                <w:color w:val="000000"/>
                <w:sz w:val="18"/>
                <w:szCs w:val="18"/>
                <w:lang w:val="fr-FR"/>
              </w:rPr>
              <w:t xml:space="preserve">Les recherches sur les entraîneurs sportifs peuvent donner une image trop simpliste de l'activité qui conduit les jeunes entraîneurs à être sous-préparés aux conflits </w:t>
            </w:r>
            <w:proofErr w:type="spellStart"/>
            <w:r w:rsidRPr="0025568E">
              <w:rPr>
                <w:rFonts w:ascii="Lato" w:hAnsi="Lato"/>
                <w:color w:val="000000"/>
                <w:sz w:val="18"/>
                <w:szCs w:val="18"/>
                <w:lang w:val="fr-FR"/>
              </w:rPr>
              <w:t>intrapersonnels</w:t>
            </w:r>
            <w:proofErr w:type="spellEnd"/>
            <w:r w:rsidRPr="0025568E">
              <w:rPr>
                <w:rFonts w:ascii="Lato" w:hAnsi="Lato"/>
                <w:color w:val="000000"/>
                <w:sz w:val="18"/>
                <w:szCs w:val="18"/>
                <w:lang w:val="fr-FR"/>
              </w:rPr>
              <w:t xml:space="preserve"> pendant leur carrière d'entraîneur (</w:t>
            </w:r>
            <w:proofErr w:type="spellStart"/>
            <w:r w:rsidRPr="0025568E">
              <w:rPr>
                <w:rFonts w:ascii="Lato" w:hAnsi="Lato"/>
                <w:color w:val="000000"/>
                <w:sz w:val="18"/>
                <w:szCs w:val="18"/>
                <w:lang w:val="fr-FR"/>
              </w:rPr>
              <w:t>Cushion</w:t>
            </w:r>
            <w:proofErr w:type="spellEnd"/>
            <w:r w:rsidRPr="0025568E">
              <w:rPr>
                <w:rFonts w:ascii="Lato" w:hAnsi="Lato"/>
                <w:color w:val="000000"/>
                <w:sz w:val="18"/>
                <w:szCs w:val="18"/>
                <w:lang w:val="fr-FR"/>
              </w:rPr>
              <w:t xml:space="preserve">, 2006 ; Jones, 2009 ; </w:t>
            </w:r>
            <w:proofErr w:type="spellStart"/>
            <w:r w:rsidRPr="0025568E">
              <w:rPr>
                <w:rFonts w:ascii="Lato" w:hAnsi="Lato"/>
                <w:color w:val="000000"/>
                <w:sz w:val="18"/>
                <w:szCs w:val="18"/>
                <w:lang w:val="fr-FR"/>
              </w:rPr>
              <w:t>Potrac</w:t>
            </w:r>
            <w:proofErr w:type="spellEnd"/>
            <w:r w:rsidRPr="0025568E">
              <w:rPr>
                <w:rFonts w:ascii="Lato" w:hAnsi="Lato"/>
                <w:color w:val="000000"/>
                <w:sz w:val="18"/>
                <w:szCs w:val="18"/>
                <w:lang w:val="fr-FR"/>
              </w:rPr>
              <w:t xml:space="preserve"> et </w:t>
            </w:r>
            <w:proofErr w:type="gramStart"/>
            <w:r w:rsidRPr="0025568E">
              <w:rPr>
                <w:rFonts w:ascii="Lato" w:hAnsi="Lato"/>
                <w:color w:val="000000"/>
                <w:sz w:val="18"/>
                <w:szCs w:val="18"/>
                <w:lang w:val="fr-FR"/>
              </w:rPr>
              <w:t>al.,</w:t>
            </w:r>
            <w:proofErr w:type="gramEnd"/>
            <w:r w:rsidRPr="0025568E">
              <w:rPr>
                <w:rFonts w:ascii="Lato" w:hAnsi="Lato"/>
                <w:color w:val="000000"/>
                <w:sz w:val="18"/>
                <w:szCs w:val="18"/>
                <w:lang w:val="fr-FR"/>
              </w:rPr>
              <w:t xml:space="preserve"> 2016).  Ce document s'appuie sur des travaux qui montrent que l’entrainement est un défi émotionnel (</w:t>
            </w:r>
            <w:proofErr w:type="spellStart"/>
            <w:r w:rsidRPr="0025568E">
              <w:rPr>
                <w:rFonts w:ascii="Lato" w:hAnsi="Lato"/>
                <w:color w:val="000000"/>
                <w:sz w:val="18"/>
                <w:szCs w:val="18"/>
                <w:lang w:val="fr-FR"/>
              </w:rPr>
              <w:t>Thelwell</w:t>
            </w:r>
            <w:proofErr w:type="spellEnd"/>
            <w:r w:rsidRPr="0025568E">
              <w:rPr>
                <w:rFonts w:ascii="Lato" w:hAnsi="Lato"/>
                <w:color w:val="000000"/>
                <w:sz w:val="18"/>
                <w:szCs w:val="18"/>
                <w:lang w:val="fr-FR"/>
              </w:rPr>
              <w:t xml:space="preserve">, 2017 ; </w:t>
            </w:r>
            <w:proofErr w:type="spellStart"/>
            <w:r w:rsidRPr="0025568E">
              <w:rPr>
                <w:rFonts w:ascii="Lato" w:hAnsi="Lato"/>
                <w:color w:val="000000"/>
                <w:sz w:val="18"/>
                <w:szCs w:val="18"/>
                <w:lang w:val="fr-FR"/>
              </w:rPr>
              <w:t>Gowling</w:t>
            </w:r>
            <w:proofErr w:type="spellEnd"/>
            <w:r w:rsidRPr="0025568E">
              <w:rPr>
                <w:rFonts w:ascii="Lato" w:hAnsi="Lato"/>
                <w:color w:val="000000"/>
                <w:sz w:val="18"/>
                <w:szCs w:val="18"/>
                <w:lang w:val="fr-FR"/>
              </w:rPr>
              <w:t xml:space="preserve">, 2019).  L'auto-ethnographie illustre les luttes intérieures des premiers auteurs avec leur efficacité perçue tout en essayant de prouver leur valeur dans le contexte de l’entrainement de l'élite junior.  Les quatre principales conclusions sont les suivantes : (1) le récit des performances influence le comportement des jeunes entraîneurs ; (2) l'incapacité à évaluer sa propre efficacité, sans utiliser les résultats des joueurs comme seul critère, peut avoir un effet émotionnel négatif sur les entraîneurs ; (3) les récits relationnels sont présents dans l'entraînement de l'élite junior ; (4) les instances dirigeantes ont la possibilité d'améliorer la préparation des jeunes entraîneurs aux défis </w:t>
            </w:r>
            <w:proofErr w:type="spellStart"/>
            <w:r w:rsidRPr="0025568E">
              <w:rPr>
                <w:rFonts w:ascii="Lato" w:hAnsi="Lato"/>
                <w:color w:val="000000"/>
                <w:sz w:val="18"/>
                <w:szCs w:val="18"/>
                <w:lang w:val="fr-FR"/>
              </w:rPr>
              <w:t>intrapersonnels</w:t>
            </w:r>
            <w:proofErr w:type="spellEnd"/>
            <w:r w:rsidRPr="0025568E">
              <w:rPr>
                <w:rFonts w:ascii="Lato" w:hAnsi="Lato"/>
                <w:color w:val="000000"/>
                <w:sz w:val="18"/>
                <w:szCs w:val="18"/>
                <w:lang w:val="fr-FR"/>
              </w:rPr>
              <w:t xml:space="preserve"> liés à l'entraînement.</w:t>
            </w:r>
          </w:p>
          <w:p w14:paraId="1D519B49" w14:textId="3A5F8814" w:rsidR="002F0D43" w:rsidRPr="00DA1D83" w:rsidRDefault="002F0D43" w:rsidP="00A52C82">
            <w:pPr>
              <w:jc w:val="both"/>
              <w:rPr>
                <w:rFonts w:ascii="Lato" w:hAnsi="Lato"/>
                <w:color w:val="000000"/>
                <w:sz w:val="18"/>
                <w:szCs w:val="18"/>
              </w:rPr>
            </w:pPr>
          </w:p>
        </w:tc>
        <w:tc>
          <w:tcPr>
            <w:tcW w:w="221" w:type="dxa"/>
          </w:tcPr>
          <w:p w14:paraId="5EBEFB29" w14:textId="77777777" w:rsidR="002F0D43" w:rsidRDefault="002F0D43">
            <w:pPr>
              <w:rPr>
                <w:rFonts w:ascii="Lato" w:hAnsi="Lato"/>
              </w:rPr>
            </w:pPr>
          </w:p>
        </w:tc>
        <w:tc>
          <w:tcPr>
            <w:tcW w:w="1717" w:type="dxa"/>
          </w:tcPr>
          <w:p w14:paraId="2929C26F" w14:textId="33ECE916" w:rsidR="002F0D43" w:rsidRPr="00C242B7" w:rsidRDefault="00D76CC7" w:rsidP="00466A9F">
            <w:pPr>
              <w:spacing w:line="276" w:lineRule="auto"/>
              <w:rPr>
                <w:rFonts w:ascii="Lato" w:hAnsi="Lato"/>
                <w:color w:val="000000"/>
                <w:sz w:val="16"/>
                <w:szCs w:val="16"/>
              </w:rPr>
            </w:pPr>
            <w:r w:rsidRPr="007309D2">
              <w:rPr>
                <w:rFonts w:ascii="Lato" w:hAnsi="Lato"/>
                <w:b/>
                <w:bCs/>
                <w:color w:val="000000"/>
                <w:sz w:val="15"/>
                <w:szCs w:val="15"/>
              </w:rPr>
              <w:t xml:space="preserve">Mots </w:t>
            </w:r>
            <w:proofErr w:type="spellStart"/>
            <w:r w:rsidRPr="007309D2">
              <w:rPr>
                <w:rFonts w:ascii="Lato" w:hAnsi="Lato"/>
                <w:b/>
                <w:bCs/>
                <w:color w:val="000000"/>
                <w:sz w:val="15"/>
                <w:szCs w:val="15"/>
              </w:rPr>
              <w:t>clés</w:t>
            </w:r>
            <w:proofErr w:type="spellEnd"/>
            <w:r w:rsidR="002F0D43" w:rsidRPr="00C242B7">
              <w:rPr>
                <w:rFonts w:ascii="Lato" w:hAnsi="Lato"/>
                <w:b/>
                <w:bCs/>
                <w:color w:val="000000"/>
                <w:sz w:val="16"/>
                <w:szCs w:val="16"/>
              </w:rPr>
              <w:t xml:space="preserve">: </w:t>
            </w:r>
            <w:r w:rsidR="00BF72E6" w:rsidRPr="00BF72E6">
              <w:rPr>
                <w:rFonts w:ascii="Lato" w:hAnsi="Lato"/>
                <w:color w:val="000000"/>
                <w:sz w:val="16"/>
                <w:szCs w:val="16"/>
                <w:lang w:val="fr-FR"/>
              </w:rPr>
              <w:t xml:space="preserve">analyse des performances, sports de raquette, tennis professionnel, compétition, </w:t>
            </w:r>
            <w:proofErr w:type="gramStart"/>
            <w:r w:rsidR="00BF72E6" w:rsidRPr="00BF72E6">
              <w:rPr>
                <w:rFonts w:ascii="Lato" w:hAnsi="Lato"/>
                <w:color w:val="000000"/>
                <w:sz w:val="16"/>
                <w:szCs w:val="16"/>
                <w:lang w:val="fr-FR"/>
              </w:rPr>
              <w:t>statistiques</w:t>
            </w:r>
            <w:proofErr w:type="gramEnd"/>
            <w:r w:rsidR="002F0D43" w:rsidRPr="00C242B7">
              <w:rPr>
                <w:rFonts w:ascii="Lato" w:hAnsi="Lato"/>
                <w:color w:val="000000"/>
                <w:sz w:val="16"/>
                <w:szCs w:val="16"/>
              </w:rPr>
              <w:t>.</w:t>
            </w:r>
          </w:p>
          <w:p w14:paraId="5FB64436" w14:textId="198F0E75" w:rsidR="002F0D43" w:rsidRPr="00C242B7" w:rsidRDefault="00D76CC7" w:rsidP="00935D30">
            <w:pPr>
              <w:spacing w:line="276" w:lineRule="auto"/>
              <w:rPr>
                <w:rFonts w:ascii="Lato" w:hAnsi="Lato"/>
              </w:rPr>
            </w:pPr>
            <w:r w:rsidRPr="00D76CC7">
              <w:rPr>
                <w:rFonts w:ascii="Lato" w:hAnsi="Lato"/>
                <w:b/>
                <w:bCs/>
                <w:color w:val="000000"/>
                <w:sz w:val="14"/>
                <w:szCs w:val="14"/>
              </w:rPr>
              <w:t xml:space="preserve">Article </w:t>
            </w:r>
            <w:proofErr w:type="spellStart"/>
            <w:r w:rsidRPr="00D76CC7">
              <w:rPr>
                <w:rFonts w:ascii="Lato" w:hAnsi="Lato"/>
                <w:b/>
                <w:bCs/>
                <w:color w:val="000000"/>
                <w:sz w:val="14"/>
                <w:szCs w:val="14"/>
              </w:rPr>
              <w:t>reçu</w:t>
            </w:r>
            <w:proofErr w:type="spellEnd"/>
            <w:r w:rsidR="00BF72E6">
              <w:rPr>
                <w:rFonts w:ascii="Lato" w:hAnsi="Lato"/>
                <w:color w:val="000000"/>
                <w:sz w:val="14"/>
                <w:szCs w:val="14"/>
              </w:rPr>
              <w:t>: 30</w:t>
            </w:r>
            <w:r w:rsidR="002F0D43" w:rsidRPr="00D76CC7">
              <w:rPr>
                <w:rFonts w:ascii="Lato" w:hAnsi="Lato"/>
                <w:color w:val="000000"/>
                <w:sz w:val="14"/>
                <w:szCs w:val="14"/>
              </w:rPr>
              <w:t xml:space="preserve"> </w:t>
            </w:r>
            <w:proofErr w:type="spellStart"/>
            <w:r w:rsidR="00D01D96">
              <w:rPr>
                <w:rFonts w:ascii="Lato" w:hAnsi="Lato"/>
                <w:color w:val="000000"/>
                <w:sz w:val="14"/>
                <w:szCs w:val="14"/>
              </w:rPr>
              <w:t>Ju</w:t>
            </w:r>
            <w:r w:rsidR="00EC04A7">
              <w:rPr>
                <w:rFonts w:ascii="Lato" w:hAnsi="Lato"/>
                <w:color w:val="000000"/>
                <w:sz w:val="14"/>
                <w:szCs w:val="14"/>
              </w:rPr>
              <w:t>i</w:t>
            </w:r>
            <w:r w:rsidR="00D01D96">
              <w:rPr>
                <w:rFonts w:ascii="Lato" w:hAnsi="Lato"/>
                <w:color w:val="000000"/>
                <w:sz w:val="14"/>
                <w:szCs w:val="14"/>
              </w:rPr>
              <w:t>n</w:t>
            </w:r>
            <w:proofErr w:type="spellEnd"/>
            <w:r w:rsidR="00DA1D83" w:rsidRPr="00D76CC7">
              <w:rPr>
                <w:rFonts w:ascii="Lato" w:hAnsi="Lato"/>
                <w:color w:val="000000"/>
                <w:sz w:val="14"/>
                <w:szCs w:val="14"/>
              </w:rPr>
              <w:t xml:space="preserve"> 2020</w:t>
            </w:r>
            <w:r w:rsidR="002F0D43" w:rsidRPr="00D76CC7">
              <w:rPr>
                <w:rFonts w:ascii="Lato" w:hAnsi="Lato"/>
                <w:color w:val="000000"/>
                <w:sz w:val="14"/>
                <w:szCs w:val="14"/>
              </w:rPr>
              <w:br/>
            </w:r>
            <w:r w:rsidRPr="00D76CC7">
              <w:rPr>
                <w:rFonts w:ascii="Lato" w:hAnsi="Lato"/>
                <w:b/>
                <w:bCs/>
                <w:color w:val="000000"/>
                <w:sz w:val="14"/>
                <w:szCs w:val="14"/>
              </w:rPr>
              <w:t xml:space="preserve">Article </w:t>
            </w:r>
            <w:proofErr w:type="spellStart"/>
            <w:r w:rsidRPr="00D76CC7">
              <w:rPr>
                <w:rFonts w:ascii="Lato" w:hAnsi="Lato"/>
                <w:b/>
                <w:bCs/>
                <w:color w:val="000000"/>
                <w:sz w:val="14"/>
                <w:szCs w:val="14"/>
              </w:rPr>
              <w:t>accepté</w:t>
            </w:r>
            <w:proofErr w:type="spellEnd"/>
            <w:r w:rsidR="00BF72E6">
              <w:rPr>
                <w:rFonts w:ascii="Lato" w:hAnsi="Lato"/>
                <w:color w:val="000000"/>
                <w:sz w:val="14"/>
                <w:szCs w:val="14"/>
              </w:rPr>
              <w:t>: 20</w:t>
            </w:r>
            <w:r w:rsidR="00DA1D83" w:rsidRPr="00D76CC7">
              <w:rPr>
                <w:rFonts w:ascii="Lato" w:hAnsi="Lato"/>
                <w:color w:val="000000"/>
                <w:sz w:val="14"/>
                <w:szCs w:val="14"/>
              </w:rPr>
              <w:t xml:space="preserve"> </w:t>
            </w:r>
            <w:proofErr w:type="spellStart"/>
            <w:r w:rsidR="00D01D96">
              <w:rPr>
                <w:rFonts w:ascii="Lato" w:hAnsi="Lato"/>
                <w:color w:val="000000"/>
                <w:sz w:val="14"/>
                <w:szCs w:val="14"/>
              </w:rPr>
              <w:t>Sep</w:t>
            </w:r>
            <w:r w:rsidR="00EC04A7">
              <w:rPr>
                <w:rFonts w:ascii="Lato" w:hAnsi="Lato"/>
                <w:color w:val="000000"/>
                <w:sz w:val="14"/>
                <w:szCs w:val="14"/>
              </w:rPr>
              <w:t>tembre</w:t>
            </w:r>
            <w:proofErr w:type="spellEnd"/>
            <w:r w:rsidRPr="00D76CC7">
              <w:rPr>
                <w:rFonts w:ascii="Lato" w:hAnsi="Lato"/>
                <w:color w:val="000000"/>
                <w:sz w:val="14"/>
                <w:szCs w:val="14"/>
              </w:rPr>
              <w:t xml:space="preserve"> </w:t>
            </w:r>
            <w:r w:rsidR="00DA1D83" w:rsidRPr="00D76CC7">
              <w:rPr>
                <w:rFonts w:ascii="Lato" w:hAnsi="Lato"/>
                <w:color w:val="000000"/>
                <w:sz w:val="14"/>
                <w:szCs w:val="14"/>
              </w:rPr>
              <w:t>2020</w:t>
            </w:r>
            <w:r w:rsidR="002F0D43" w:rsidRPr="00C242B7">
              <w:rPr>
                <w:rFonts w:ascii="Lato" w:hAnsi="Lato"/>
                <w:color w:val="000000"/>
                <w:sz w:val="16"/>
                <w:szCs w:val="16"/>
              </w:rPr>
              <w:br/>
            </w:r>
            <w:r w:rsidRPr="007309D2">
              <w:rPr>
                <w:rFonts w:ascii="Lato" w:hAnsi="Lato"/>
                <w:b/>
                <w:bCs/>
                <w:color w:val="000000"/>
                <w:sz w:val="15"/>
                <w:szCs w:val="15"/>
              </w:rPr>
              <w:t xml:space="preserve">Auteur </w:t>
            </w:r>
            <w:proofErr w:type="spellStart"/>
            <w:r w:rsidRPr="007309D2">
              <w:rPr>
                <w:rFonts w:ascii="Lato" w:hAnsi="Lato"/>
                <w:b/>
                <w:bCs/>
                <w:color w:val="000000"/>
                <w:sz w:val="15"/>
                <w:szCs w:val="15"/>
              </w:rPr>
              <w:t>correspondant</w:t>
            </w:r>
            <w:proofErr w:type="spellEnd"/>
            <w:r>
              <w:rPr>
                <w:rFonts w:ascii="Lato" w:hAnsi="Lato"/>
                <w:b/>
                <w:bCs/>
                <w:color w:val="000000"/>
                <w:sz w:val="16"/>
                <w:szCs w:val="16"/>
              </w:rPr>
              <w:t>:</w:t>
            </w:r>
            <w:r w:rsidR="00C242B7" w:rsidRPr="00C242B7">
              <w:rPr>
                <w:rFonts w:ascii="Lato" w:hAnsi="Lato"/>
                <w:color w:val="000000"/>
                <w:sz w:val="16"/>
                <w:szCs w:val="16"/>
              </w:rPr>
              <w:t xml:space="preserve"> </w:t>
            </w:r>
            <w:r w:rsidR="00935D30" w:rsidRPr="00C22DEE">
              <w:rPr>
                <w:rFonts w:ascii="Lato" w:hAnsi="Lato"/>
                <w:bCs/>
                <w:color w:val="000000"/>
                <w:sz w:val="16"/>
                <w:szCs w:val="16"/>
                <w:lang w:val="es-ES"/>
              </w:rPr>
              <w:t>Alejandro Sánchez-</w:t>
            </w:r>
            <w:proofErr w:type="spellStart"/>
            <w:r w:rsidR="00935D30" w:rsidRPr="00C22DEE">
              <w:rPr>
                <w:rFonts w:ascii="Lato" w:hAnsi="Lato"/>
                <w:bCs/>
                <w:color w:val="000000"/>
                <w:sz w:val="16"/>
                <w:szCs w:val="16"/>
                <w:lang w:val="es-ES"/>
              </w:rPr>
              <w:t>Pay</w:t>
            </w:r>
            <w:proofErr w:type="spellEnd"/>
            <w:r w:rsidR="00935D30">
              <w:rPr>
                <w:rFonts w:ascii="Lato" w:hAnsi="Lato"/>
                <w:b/>
                <w:bCs/>
                <w:color w:val="000000"/>
                <w:sz w:val="16"/>
                <w:szCs w:val="16"/>
              </w:rPr>
              <w:t xml:space="preserve">, </w:t>
            </w:r>
            <w:proofErr w:type="spellStart"/>
            <w:r w:rsidR="005B4457" w:rsidRPr="005B4457">
              <w:rPr>
                <w:rFonts w:ascii="Lato" w:hAnsi="Lato"/>
                <w:bCs/>
                <w:color w:val="000000"/>
                <w:sz w:val="16"/>
                <w:szCs w:val="16"/>
              </w:rPr>
              <w:t>Faculté</w:t>
            </w:r>
            <w:proofErr w:type="spellEnd"/>
            <w:r w:rsidR="005B4457" w:rsidRPr="005B4457">
              <w:rPr>
                <w:rFonts w:ascii="Lato" w:hAnsi="Lato"/>
                <w:bCs/>
                <w:color w:val="000000"/>
                <w:sz w:val="16"/>
                <w:szCs w:val="16"/>
              </w:rPr>
              <w:t xml:space="preserve"> des sciences du sport, </w:t>
            </w:r>
            <w:proofErr w:type="spellStart"/>
            <w:r w:rsidR="005B4457" w:rsidRPr="005B4457">
              <w:rPr>
                <w:rFonts w:ascii="Lato" w:hAnsi="Lato"/>
                <w:bCs/>
                <w:color w:val="000000"/>
                <w:sz w:val="16"/>
                <w:szCs w:val="16"/>
              </w:rPr>
              <w:t>Université</w:t>
            </w:r>
            <w:proofErr w:type="spellEnd"/>
            <w:r w:rsidR="005B4457" w:rsidRPr="005B4457">
              <w:rPr>
                <w:rFonts w:ascii="Lato" w:hAnsi="Lato"/>
                <w:bCs/>
                <w:color w:val="000000"/>
                <w:sz w:val="16"/>
                <w:szCs w:val="16"/>
              </w:rPr>
              <w:t xml:space="preserve"> de </w:t>
            </w:r>
            <w:proofErr w:type="spellStart"/>
            <w:r w:rsidR="005B4457" w:rsidRPr="005B4457">
              <w:rPr>
                <w:rFonts w:ascii="Lato" w:hAnsi="Lato"/>
                <w:bCs/>
                <w:color w:val="000000"/>
                <w:sz w:val="16"/>
                <w:szCs w:val="16"/>
              </w:rPr>
              <w:t>Murcie</w:t>
            </w:r>
            <w:proofErr w:type="spellEnd"/>
            <w:r w:rsidR="00935D30" w:rsidRPr="00C22DEE">
              <w:rPr>
                <w:rFonts w:ascii="Lato" w:hAnsi="Lato"/>
                <w:bCs/>
                <w:color w:val="000000"/>
                <w:sz w:val="16"/>
                <w:szCs w:val="16"/>
              </w:rPr>
              <w:t>, Murcia</w:t>
            </w:r>
            <w:r w:rsidR="00935D30">
              <w:rPr>
                <w:rFonts w:ascii="Lato" w:hAnsi="Lato"/>
                <w:bCs/>
                <w:color w:val="000000"/>
                <w:sz w:val="16"/>
                <w:szCs w:val="16"/>
              </w:rPr>
              <w:t xml:space="preserve">, </w:t>
            </w:r>
            <w:proofErr w:type="spellStart"/>
            <w:r w:rsidR="00935D30" w:rsidRPr="00935D30">
              <w:rPr>
                <w:rFonts w:ascii="Lato" w:hAnsi="Lato"/>
                <w:bCs/>
                <w:color w:val="000000"/>
                <w:sz w:val="16"/>
                <w:szCs w:val="16"/>
              </w:rPr>
              <w:t>Espagne</w:t>
            </w:r>
            <w:proofErr w:type="spellEnd"/>
            <w:r w:rsidR="00C242B7">
              <w:rPr>
                <w:rFonts w:ascii="Lato" w:hAnsi="Lato"/>
                <w:color w:val="000000"/>
                <w:sz w:val="16"/>
                <w:szCs w:val="16"/>
              </w:rPr>
              <w:t xml:space="preserve">. </w:t>
            </w:r>
            <w:r w:rsidR="00E641B9" w:rsidRPr="00C242B7">
              <w:rPr>
                <w:rFonts w:ascii="Lato" w:hAnsi="Lato"/>
                <w:color w:val="000000"/>
                <w:sz w:val="16"/>
                <w:szCs w:val="16"/>
              </w:rPr>
              <w:t>Email</w:t>
            </w:r>
            <w:r w:rsidR="002F0D43" w:rsidRPr="00C242B7">
              <w:rPr>
                <w:rFonts w:ascii="Lato" w:hAnsi="Lato"/>
                <w:color w:val="000000"/>
                <w:sz w:val="16"/>
                <w:szCs w:val="16"/>
              </w:rPr>
              <w:t>:</w:t>
            </w:r>
            <w:r w:rsidR="003A4A2F" w:rsidRPr="00C242B7">
              <w:rPr>
                <w:rFonts w:ascii="Lato" w:eastAsia="Times New Roman" w:hAnsi="Lato" w:cs="Times New Roman"/>
                <w:lang w:val="en-GB"/>
              </w:rPr>
              <w:t xml:space="preserve"> </w:t>
            </w:r>
            <w:r w:rsidR="00BF72E6" w:rsidRPr="00BF72E6">
              <w:rPr>
                <w:rFonts w:ascii="Lato" w:hAnsi="Lato"/>
                <w:color w:val="000000"/>
                <w:sz w:val="16"/>
                <w:szCs w:val="16"/>
                <w:lang w:val="fr-FR"/>
              </w:rPr>
              <w:t>aspay@um.es</w:t>
            </w:r>
          </w:p>
        </w:tc>
      </w:tr>
    </w:tbl>
    <w:p w14:paraId="0CEBADE9" w14:textId="6814C810" w:rsidR="00A52C82" w:rsidRDefault="00A52C82" w:rsidP="00435544">
      <w:pPr>
        <w:jc w:val="both"/>
        <w:rPr>
          <w:rFonts w:ascii="Lato-Regular" w:hAnsi="Lato-Regular"/>
          <w:color w:val="008F70"/>
          <w:sz w:val="18"/>
          <w:szCs w:val="18"/>
        </w:rPr>
        <w:sectPr w:rsidR="00A52C82" w:rsidSect="00935D30">
          <w:headerReference w:type="default" r:id="rId12"/>
          <w:footerReference w:type="default" r:id="rId13"/>
          <w:headerReference w:type="first" r:id="rId14"/>
          <w:footerReference w:type="first" r:id="rId15"/>
          <w:pgSz w:w="12240" w:h="15840"/>
          <w:pgMar w:top="1440" w:right="1440" w:bottom="1440" w:left="1440" w:header="720" w:footer="720" w:gutter="0"/>
          <w:pgNumType w:start="14"/>
          <w:cols w:space="720"/>
          <w:titlePg/>
          <w:docGrid w:linePitch="360"/>
        </w:sectPr>
      </w:pPr>
    </w:p>
    <w:p w14:paraId="5B275EF6" w14:textId="77777777" w:rsidR="00B54298" w:rsidRDefault="00B54298" w:rsidP="00B54298">
      <w:pPr>
        <w:spacing w:after="240"/>
        <w:ind w:right="-22"/>
        <w:jc w:val="both"/>
        <w:rPr>
          <w:rFonts w:ascii="Lato-Regular" w:hAnsi="Lato-Regular"/>
          <w:color w:val="008F70"/>
          <w:sz w:val="16"/>
          <w:szCs w:val="16"/>
        </w:rPr>
      </w:pPr>
      <w:r w:rsidRPr="00435544">
        <w:rPr>
          <w:rFonts w:ascii="Lato-Regular" w:hAnsi="Lato-Regular"/>
          <w:color w:val="008F70"/>
          <w:sz w:val="16"/>
          <w:szCs w:val="16"/>
        </w:rPr>
        <w:lastRenderedPageBreak/>
        <w:t>INTRODUCTION</w:t>
      </w:r>
    </w:p>
    <w:p w14:paraId="5D7F8D48" w14:textId="77777777" w:rsidR="005A7591" w:rsidRPr="005A7591" w:rsidRDefault="005A7591" w:rsidP="005A7591">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L'analyse des performances (analyse notationnelle, analyse des matchs ou analyse des performances) vise à enregistrer et à analyser les comportements et les actions des athlètes dans des situations de jeu réelles. Ces types d'indicateurs ou de variables qui représentent le mieux le vainqueur d'un match peuvent varier en fonction de la surface de jeu (Barnett, Meyer, &amp; </w:t>
      </w:r>
      <w:proofErr w:type="spellStart"/>
      <w:r w:rsidRPr="005A7591">
        <w:rPr>
          <w:rFonts w:ascii="Lato-Regular" w:hAnsi="Lato-Regular"/>
          <w:color w:val="000000"/>
          <w:sz w:val="16"/>
          <w:szCs w:val="16"/>
          <w:lang w:val="fr-FR"/>
        </w:rPr>
        <w:t>Pollard</w:t>
      </w:r>
      <w:proofErr w:type="spellEnd"/>
      <w:r w:rsidRPr="005A7591">
        <w:rPr>
          <w:rFonts w:ascii="Lato-Regular" w:hAnsi="Lato-Regular"/>
          <w:color w:val="000000"/>
          <w:sz w:val="16"/>
          <w:szCs w:val="16"/>
          <w:lang w:val="fr-FR"/>
        </w:rPr>
        <w:t xml:space="preserve">, 2008 ; Collinson &amp; Hughes, 2003) ou du genre des joueurs, entre autres aspects (Brown &amp; </w:t>
      </w:r>
      <w:proofErr w:type="spellStart"/>
      <w:r w:rsidRPr="005A7591">
        <w:rPr>
          <w:rFonts w:ascii="Lato-Regular" w:hAnsi="Lato-Regular"/>
          <w:color w:val="000000"/>
          <w:sz w:val="16"/>
          <w:szCs w:val="16"/>
          <w:lang w:val="fr-FR"/>
        </w:rPr>
        <w:t>O'Donoghue</w:t>
      </w:r>
      <w:proofErr w:type="spellEnd"/>
      <w:r w:rsidRPr="005A7591">
        <w:rPr>
          <w:rFonts w:ascii="Lato-Regular" w:hAnsi="Lato-Regular"/>
          <w:color w:val="000000"/>
          <w:sz w:val="16"/>
          <w:szCs w:val="16"/>
          <w:lang w:val="fr-FR"/>
        </w:rPr>
        <w:t>, 2008).</w:t>
      </w:r>
    </w:p>
    <w:p w14:paraId="015BDFEC" w14:textId="77777777" w:rsidR="005A7591" w:rsidRPr="005A7591" w:rsidRDefault="005A7591" w:rsidP="005A7591">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L'ATP, ainsi que les différents tournois du Grand Chelem, incluent sur leurs sites web des informations très détaillées sur les actions qui se déroulent pendant le match (Cross &amp; </w:t>
      </w:r>
      <w:proofErr w:type="spellStart"/>
      <w:r w:rsidRPr="005A7591">
        <w:rPr>
          <w:rFonts w:ascii="Lato-Regular" w:hAnsi="Lato-Regular"/>
          <w:color w:val="000000"/>
          <w:sz w:val="16"/>
          <w:szCs w:val="16"/>
          <w:lang w:val="fr-FR"/>
        </w:rPr>
        <w:t>Pollard</w:t>
      </w:r>
      <w:proofErr w:type="spellEnd"/>
      <w:r w:rsidRPr="005A7591">
        <w:rPr>
          <w:rFonts w:ascii="Lato-Regular" w:hAnsi="Lato-Regular"/>
          <w:color w:val="000000"/>
          <w:sz w:val="16"/>
          <w:szCs w:val="16"/>
          <w:lang w:val="fr-FR"/>
        </w:rPr>
        <w:t>, 2009). Ces données permettent une analyse ultérieure de meilleure qualité (</w:t>
      </w:r>
      <w:proofErr w:type="spellStart"/>
      <w:r w:rsidRPr="005A7591">
        <w:rPr>
          <w:rFonts w:ascii="Lato-Regular" w:hAnsi="Lato-Regular"/>
          <w:color w:val="000000"/>
          <w:sz w:val="16"/>
          <w:szCs w:val="16"/>
          <w:lang w:val="fr-FR"/>
        </w:rPr>
        <w:t>Katić</w:t>
      </w:r>
      <w:proofErr w:type="spellEnd"/>
      <w:r w:rsidRPr="005A7591">
        <w:rPr>
          <w:rFonts w:ascii="Lato-Regular" w:hAnsi="Lato-Regular"/>
          <w:color w:val="000000"/>
          <w:sz w:val="16"/>
          <w:szCs w:val="16"/>
          <w:lang w:val="fr-FR"/>
        </w:rPr>
        <w:t xml:space="preserve">, </w:t>
      </w:r>
      <w:proofErr w:type="spellStart"/>
      <w:r w:rsidRPr="005A7591">
        <w:rPr>
          <w:rFonts w:ascii="Lato-Regular" w:hAnsi="Lato-Regular"/>
          <w:color w:val="000000"/>
          <w:sz w:val="16"/>
          <w:szCs w:val="16"/>
          <w:lang w:val="fr-FR"/>
        </w:rPr>
        <w:t>Milat</w:t>
      </w:r>
      <w:proofErr w:type="spellEnd"/>
      <w:r w:rsidRPr="005A7591">
        <w:rPr>
          <w:rFonts w:ascii="Lato-Regular" w:hAnsi="Lato-Regular"/>
          <w:color w:val="000000"/>
          <w:sz w:val="16"/>
          <w:szCs w:val="16"/>
          <w:lang w:val="fr-FR"/>
        </w:rPr>
        <w:t xml:space="preserve">, </w:t>
      </w:r>
      <w:proofErr w:type="spellStart"/>
      <w:r w:rsidRPr="005A7591">
        <w:rPr>
          <w:rFonts w:ascii="Lato-Regular" w:hAnsi="Lato-Regular"/>
          <w:color w:val="000000"/>
          <w:sz w:val="16"/>
          <w:szCs w:val="16"/>
          <w:lang w:val="fr-FR"/>
        </w:rPr>
        <w:t>Zagorac</w:t>
      </w:r>
      <w:proofErr w:type="spellEnd"/>
      <w:r w:rsidRPr="005A7591">
        <w:rPr>
          <w:rFonts w:ascii="Lato-Regular" w:hAnsi="Lato-Regular"/>
          <w:color w:val="000000"/>
          <w:sz w:val="16"/>
          <w:szCs w:val="16"/>
          <w:lang w:val="fr-FR"/>
        </w:rPr>
        <w:t xml:space="preserve">, &amp; </w:t>
      </w:r>
      <w:proofErr w:type="spellStart"/>
      <w:r w:rsidRPr="005A7591">
        <w:rPr>
          <w:rFonts w:ascii="Lato-Regular" w:hAnsi="Lato-Regular"/>
          <w:color w:val="000000"/>
          <w:sz w:val="16"/>
          <w:szCs w:val="16"/>
          <w:lang w:val="fr-FR"/>
        </w:rPr>
        <w:t>Durovic</w:t>
      </w:r>
      <w:proofErr w:type="spellEnd"/>
      <w:r w:rsidRPr="005A7591">
        <w:rPr>
          <w:rFonts w:ascii="Lato-Regular" w:hAnsi="Lato-Regular"/>
          <w:color w:val="000000"/>
          <w:sz w:val="16"/>
          <w:szCs w:val="16"/>
          <w:lang w:val="fr-FR"/>
        </w:rPr>
        <w:t>, 2011) qui peut être utilisée pour déterminer les différents aspects influents du jeu.</w:t>
      </w:r>
    </w:p>
    <w:p w14:paraId="4490F2E3" w14:textId="77777777" w:rsidR="005A7591" w:rsidRDefault="005A7591" w:rsidP="005A7591">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La Masters </w:t>
      </w:r>
      <w:proofErr w:type="spellStart"/>
      <w:r w:rsidRPr="005A7591">
        <w:rPr>
          <w:rFonts w:ascii="Lato-Regular" w:hAnsi="Lato-Regular"/>
          <w:color w:val="000000"/>
          <w:sz w:val="16"/>
          <w:szCs w:val="16"/>
          <w:lang w:val="fr-FR"/>
        </w:rPr>
        <w:t>Cup</w:t>
      </w:r>
      <w:proofErr w:type="spellEnd"/>
      <w:r w:rsidRPr="005A7591">
        <w:rPr>
          <w:rFonts w:ascii="Lato-Regular" w:hAnsi="Lato-Regular"/>
          <w:color w:val="000000"/>
          <w:sz w:val="16"/>
          <w:szCs w:val="16"/>
          <w:lang w:val="fr-FR"/>
        </w:rPr>
        <w:t xml:space="preserve"> (actuelle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xml:space="preserve"> ATP Final) est le tournoi qui regroupe les 8 meilleurs joueurs classés par classement et présente un intérêt particulier en raison de son format particulier (deux groupes de quatre joueurs s'affrontent en </w:t>
      </w:r>
    </w:p>
    <w:p w14:paraId="571523CD" w14:textId="77777777" w:rsidR="005A7591" w:rsidRDefault="005A7591" w:rsidP="005A7591">
      <w:pPr>
        <w:spacing w:after="240"/>
        <w:ind w:right="-22"/>
        <w:jc w:val="both"/>
        <w:rPr>
          <w:rFonts w:ascii="Lato-Regular" w:hAnsi="Lato-Regular"/>
          <w:color w:val="000000"/>
          <w:sz w:val="16"/>
          <w:szCs w:val="16"/>
          <w:lang w:val="fr-FR"/>
        </w:rPr>
      </w:pPr>
    </w:p>
    <w:p w14:paraId="3CAA0F44" w14:textId="07C2CBE7" w:rsidR="005A7591" w:rsidRPr="005A7591" w:rsidRDefault="005A7591" w:rsidP="005A7591">
      <w:pPr>
        <w:spacing w:after="240"/>
        <w:ind w:right="-22"/>
        <w:jc w:val="both"/>
        <w:rPr>
          <w:rFonts w:ascii="Lato-Regular" w:hAnsi="Lato-Regular"/>
          <w:color w:val="000000"/>
          <w:sz w:val="16"/>
          <w:szCs w:val="16"/>
          <w:lang w:val="fr-FR"/>
        </w:rPr>
      </w:pPr>
      <w:proofErr w:type="gramStart"/>
      <w:r w:rsidRPr="005A7591">
        <w:rPr>
          <w:rFonts w:ascii="Lato-Regular" w:hAnsi="Lato-Regular"/>
          <w:color w:val="000000"/>
          <w:sz w:val="16"/>
          <w:szCs w:val="16"/>
          <w:lang w:val="fr-FR"/>
        </w:rPr>
        <w:t>ligue</w:t>
      </w:r>
      <w:proofErr w:type="gramEnd"/>
      <w:r w:rsidRPr="005A7591">
        <w:rPr>
          <w:rFonts w:ascii="Lato-Regular" w:hAnsi="Lato-Regular"/>
          <w:color w:val="000000"/>
          <w:sz w:val="16"/>
          <w:szCs w:val="16"/>
          <w:lang w:val="fr-FR"/>
        </w:rPr>
        <w:t xml:space="preserve">, les deux premiers de chaque groupe étant classés pour les demi-finales), ainsi que de la compétition entre les meilleurs joueurs de la saison. Depuis 2017, l'ATP a créé un tournoi similaire </w:t>
      </w:r>
      <w:proofErr w:type="gramStart"/>
      <w:r w:rsidRPr="005A7591">
        <w:rPr>
          <w:rFonts w:ascii="Lato-Regular" w:hAnsi="Lato-Regular"/>
          <w:color w:val="000000"/>
          <w:sz w:val="16"/>
          <w:szCs w:val="16"/>
          <w:lang w:val="fr-FR"/>
        </w:rPr>
        <w:t>à la masters</w:t>
      </w:r>
      <w:proofErr w:type="gramEnd"/>
      <w:r w:rsidRPr="005A7591">
        <w:rPr>
          <w:rFonts w:ascii="Lato-Regular" w:hAnsi="Lato-Regular"/>
          <w:color w:val="000000"/>
          <w:sz w:val="16"/>
          <w:szCs w:val="16"/>
          <w:lang w:val="fr-FR"/>
        </w:rPr>
        <w:t xml:space="preserve"> </w:t>
      </w:r>
      <w:proofErr w:type="spellStart"/>
      <w:r w:rsidRPr="005A7591">
        <w:rPr>
          <w:rFonts w:ascii="Lato-Regular" w:hAnsi="Lato-Regular"/>
          <w:color w:val="000000"/>
          <w:sz w:val="16"/>
          <w:szCs w:val="16"/>
          <w:lang w:val="fr-FR"/>
        </w:rPr>
        <w:t>Cup</w:t>
      </w:r>
      <w:proofErr w:type="spellEnd"/>
      <w:r w:rsidRPr="005A7591">
        <w:rPr>
          <w:rFonts w:ascii="Lato-Regular" w:hAnsi="Lato-Regular"/>
          <w:color w:val="000000"/>
          <w:sz w:val="16"/>
          <w:szCs w:val="16"/>
          <w:lang w:val="fr-FR"/>
        </w:rPr>
        <w:t xml:space="preserve">, qui est joué par les 8 premiers du classement ATP âgés de moins de 21 ans, appelé </w:t>
      </w:r>
      <w:proofErr w:type="spellStart"/>
      <w:r w:rsidRPr="005A7591">
        <w:rPr>
          <w:rFonts w:ascii="Lato-Regular" w:hAnsi="Lato-Regular"/>
          <w:color w:val="000000"/>
          <w:sz w:val="16"/>
          <w:szCs w:val="16"/>
          <w:lang w:val="fr-FR"/>
        </w:rPr>
        <w:t>NextGeneration</w:t>
      </w:r>
      <w:proofErr w:type="spellEnd"/>
      <w:r w:rsidRPr="005A7591">
        <w:rPr>
          <w:rFonts w:ascii="Lato-Regular" w:hAnsi="Lato-Regular"/>
          <w:color w:val="000000"/>
          <w:sz w:val="16"/>
          <w:szCs w:val="16"/>
          <w:lang w:val="fr-FR"/>
        </w:rPr>
        <w:t xml:space="preserve">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ATP Final. Ce tournoi est régi par des règles différentes, telles que : a) les parties jouées au meilleur de cinq sets, b) le format des sets plus courts, le meilleur de quatre parties avec un tie-break à 3-3, c) le « point d'or », et d) le jeu continu au service (règle du </w:t>
      </w:r>
      <w:proofErr w:type="spellStart"/>
      <w:r w:rsidRPr="005A7591">
        <w:rPr>
          <w:rFonts w:ascii="Lato-Regular" w:hAnsi="Lato-Regular"/>
          <w:color w:val="000000"/>
          <w:sz w:val="16"/>
          <w:szCs w:val="16"/>
          <w:lang w:val="fr-FR"/>
        </w:rPr>
        <w:t>no-let</w:t>
      </w:r>
      <w:proofErr w:type="spellEnd"/>
      <w:r w:rsidRPr="005A7591">
        <w:rPr>
          <w:rFonts w:ascii="Lato-Regular" w:hAnsi="Lato-Regular"/>
          <w:color w:val="000000"/>
          <w:sz w:val="16"/>
          <w:szCs w:val="16"/>
          <w:lang w:val="fr-FR"/>
        </w:rPr>
        <w:t xml:space="preserve">). Ces changements ont pour but de créer un format plus rapide, adapté aux besoins et aux exigences de la télévision, et qui vise à attirer de nouveaux et jeunes amateurs de sport. Cependant, il n'existe actuellement aucune étude qui ait analysé l'influence des modifications du règlement de ce tournoi de moins de 21 ans sur les statistiques de la compétition. Par conséquent, l'objectif de cette recherche sera d'observer les différences entre les tournois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xml:space="preserve"> et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ATP Finals, ainsi que d'analyser l'influence de la modification du règlement du tournoi sur les exigences de la compétition.</w:t>
      </w:r>
    </w:p>
    <w:p w14:paraId="257A4503" w14:textId="658B46CD" w:rsidR="00B54298" w:rsidRPr="00B77309" w:rsidRDefault="004565C5" w:rsidP="00B54298">
      <w:pPr>
        <w:spacing w:after="240"/>
        <w:ind w:right="-22"/>
        <w:jc w:val="both"/>
        <w:rPr>
          <w:rFonts w:ascii="Lato-Regular" w:hAnsi="Lato-Regular"/>
          <w:color w:val="008F70"/>
          <w:sz w:val="16"/>
          <w:szCs w:val="16"/>
          <w:lang w:val="fr-FR"/>
        </w:rPr>
      </w:pPr>
      <w:r>
        <w:rPr>
          <w:rFonts w:ascii="Lato-Regular" w:hAnsi="Lato-Regular"/>
          <w:color w:val="008F70"/>
          <w:sz w:val="16"/>
          <w:szCs w:val="16"/>
          <w:lang w:val="fr-FR"/>
        </w:rPr>
        <w:t>M</w:t>
      </w:r>
      <w:r w:rsidR="00B54298" w:rsidRPr="00B77309">
        <w:rPr>
          <w:rFonts w:ascii="Lato-Regular" w:hAnsi="Lato-Regular"/>
          <w:color w:val="008F70"/>
          <w:sz w:val="16"/>
          <w:szCs w:val="16"/>
          <w:lang w:val="fr-FR"/>
        </w:rPr>
        <w:t>É</w:t>
      </w:r>
      <w:r>
        <w:rPr>
          <w:rFonts w:ascii="Lato-Regular" w:hAnsi="Lato-Regular"/>
          <w:color w:val="008F70"/>
          <w:sz w:val="16"/>
          <w:szCs w:val="16"/>
          <w:lang w:val="fr-FR"/>
        </w:rPr>
        <w:t>THODE</w:t>
      </w:r>
    </w:p>
    <w:p w14:paraId="4C5DCA33" w14:textId="77777777" w:rsidR="005A7591" w:rsidRPr="005A7591" w:rsidRDefault="005A7591" w:rsidP="005A7591">
      <w:pPr>
        <w:spacing w:after="240"/>
        <w:ind w:right="-22"/>
        <w:jc w:val="both"/>
        <w:rPr>
          <w:rFonts w:ascii="Lato-Regular" w:hAnsi="Lato-Regular"/>
          <w:bCs/>
          <w:color w:val="2D79C5"/>
          <w:sz w:val="16"/>
          <w:szCs w:val="16"/>
          <w:lang w:val="fr-FR"/>
        </w:rPr>
      </w:pPr>
      <w:r w:rsidRPr="005A7591">
        <w:rPr>
          <w:rFonts w:ascii="Lato-Regular" w:hAnsi="Lato-Regular"/>
          <w:bCs/>
          <w:color w:val="2D79C5"/>
          <w:sz w:val="16"/>
          <w:szCs w:val="16"/>
          <w:lang w:val="fr-FR"/>
        </w:rPr>
        <w:lastRenderedPageBreak/>
        <w:t>Exemple</w:t>
      </w:r>
    </w:p>
    <w:p w14:paraId="4522D427" w14:textId="77777777" w:rsidR="005A7591" w:rsidRPr="005A7591" w:rsidRDefault="005A7591" w:rsidP="005A7591">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L'échantillon était composé d'un total de 89 sets des tournois de la finale ATP 2019 (34 sets du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xml:space="preserve"> et 55 sets de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Tous les matchs de chaque tournoi ont été enregistrés et analysés.</w:t>
      </w:r>
    </w:p>
    <w:p w14:paraId="6431BCE6" w14:textId="77777777" w:rsidR="005A7591" w:rsidRPr="005A7591" w:rsidRDefault="005A7591" w:rsidP="005A7591">
      <w:pPr>
        <w:spacing w:after="240"/>
        <w:ind w:right="-22"/>
        <w:jc w:val="both"/>
        <w:rPr>
          <w:rFonts w:ascii="Lato-Regular" w:hAnsi="Lato-Regular"/>
          <w:bCs/>
          <w:color w:val="2D79C5"/>
          <w:sz w:val="16"/>
          <w:szCs w:val="16"/>
          <w:lang w:val="fr-FR"/>
        </w:rPr>
      </w:pPr>
      <w:r w:rsidRPr="005A7591">
        <w:rPr>
          <w:rFonts w:ascii="Lato-Regular" w:hAnsi="Lato-Regular"/>
          <w:bCs/>
          <w:color w:val="2D79C5"/>
          <w:sz w:val="16"/>
          <w:szCs w:val="16"/>
          <w:lang w:val="fr-FR"/>
        </w:rPr>
        <w:t>Procédure</w:t>
      </w:r>
    </w:p>
    <w:p w14:paraId="30F6DAD1" w14:textId="47DD1BB7" w:rsidR="004E419F" w:rsidRDefault="005A7591" w:rsidP="00443A3C">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Les statistiques des matchs joués dans le tournoi final ATP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xml:space="preserve"> (n = 15 matchs ; 34 sets) et dans le tournoi final ATP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(n = 15 matchs ; 55 sets) ont été collectées. Les données ont été sélectionnées à partir des informations publiées sur le site officiel de l'ATP de tennis (</w:t>
      </w:r>
      <w:hyperlink r:id="rId16" w:history="1">
        <w:r w:rsidRPr="005A7591">
          <w:rPr>
            <w:rStyle w:val="Hyperlink"/>
            <w:rFonts w:ascii="Lato-Regular" w:hAnsi="Lato-Regular"/>
            <w:sz w:val="16"/>
            <w:szCs w:val="16"/>
            <w:lang w:val="fr-FR"/>
          </w:rPr>
          <w:t>https://atp.com/</w:t>
        </w:r>
      </w:hyperlink>
      <w:r w:rsidRPr="005A7591">
        <w:rPr>
          <w:rFonts w:ascii="Lato-Regular" w:hAnsi="Lato-Regular"/>
          <w:color w:val="000000"/>
          <w:sz w:val="16"/>
          <w:szCs w:val="16"/>
          <w:lang w:val="fr-FR"/>
        </w:rPr>
        <w:t>) Les variables sélectionnées ont été regroupées en trois blocs : variables temporelles et actions de jeu, variables liées à la performance au service et variables liées à la performance en retour de service.</w:t>
      </w:r>
    </w:p>
    <w:p w14:paraId="41DB7A22" w14:textId="77777777" w:rsidR="004E419F" w:rsidRPr="005A7591" w:rsidRDefault="004E419F" w:rsidP="004E419F">
      <w:pPr>
        <w:spacing w:after="240"/>
        <w:ind w:right="-22"/>
        <w:jc w:val="both"/>
        <w:rPr>
          <w:rFonts w:ascii="Lato-Regular" w:hAnsi="Lato-Regular"/>
          <w:bCs/>
          <w:color w:val="2D79C5"/>
          <w:sz w:val="16"/>
          <w:szCs w:val="16"/>
          <w:lang w:val="fr-FR"/>
        </w:rPr>
      </w:pPr>
      <w:r w:rsidRPr="005A7591">
        <w:rPr>
          <w:rFonts w:ascii="Lato-Regular" w:hAnsi="Lato-Regular"/>
          <w:bCs/>
          <w:color w:val="2D79C5"/>
          <w:sz w:val="16"/>
          <w:szCs w:val="16"/>
          <w:lang w:val="fr-FR"/>
        </w:rPr>
        <w:t>Analyse statistique</w:t>
      </w:r>
    </w:p>
    <w:p w14:paraId="1BE9464B" w14:textId="77777777" w:rsidR="004E419F" w:rsidRPr="005A7591" w:rsidRDefault="004E419F" w:rsidP="004E419F">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Tout d'abord, la moyenne (M) et l'écart type (ET) ont été calculés sur toutes les variables de l'échantillon. L'analyse de normalité a été effectuée à l'aide du test de Kolmogorov-</w:t>
      </w:r>
      <w:r w:rsidRPr="004E419F">
        <w:rPr>
          <w:rFonts w:ascii="Lato-Regular" w:hAnsi="Lato-Regular"/>
          <w:color w:val="000000"/>
          <w:sz w:val="16"/>
          <w:szCs w:val="16"/>
          <w:lang w:val="fr-FR"/>
        </w:rPr>
        <w:t xml:space="preserve"> </w:t>
      </w:r>
      <w:r w:rsidRPr="005A7591">
        <w:rPr>
          <w:rFonts w:ascii="Lato-Regular" w:hAnsi="Lato-Regular"/>
          <w:color w:val="000000"/>
          <w:sz w:val="16"/>
          <w:szCs w:val="16"/>
          <w:lang w:val="fr-FR"/>
        </w:rPr>
        <w:t xml:space="preserve">Smirnov. Le test t- </w:t>
      </w:r>
      <w:proofErr w:type="spellStart"/>
      <w:r w:rsidRPr="005A7591">
        <w:rPr>
          <w:rFonts w:ascii="Lato-Regular" w:hAnsi="Lato-Regular"/>
          <w:color w:val="000000"/>
          <w:sz w:val="16"/>
          <w:szCs w:val="16"/>
          <w:lang w:val="fr-FR"/>
        </w:rPr>
        <w:t>Student</w:t>
      </w:r>
      <w:proofErr w:type="spellEnd"/>
      <w:r w:rsidRPr="005A7591">
        <w:rPr>
          <w:rFonts w:ascii="Lato-Regular" w:hAnsi="Lato-Regular"/>
          <w:color w:val="000000"/>
          <w:sz w:val="16"/>
          <w:szCs w:val="16"/>
          <w:lang w:val="fr-FR"/>
        </w:rPr>
        <w:t xml:space="preserve"> a été utilisé pour identifier les différences entre les tournois (finales ATP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xml:space="preserve"> et finales ATP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ainsi que pour calculer la moyenne et le pourcentage de différence entre le gagnant et le perdant entre les deux tournois. Un niveau de signification de p &lt;.05 a été établi. Les données ont été analysées à l'aide du progiciel statistique IBM SPPS 20.0 pour Macintosh (Armonk, NY : IBM Corp.).</w:t>
      </w:r>
    </w:p>
    <w:p w14:paraId="133A3DA4" w14:textId="77777777" w:rsidR="004E419F" w:rsidRDefault="004E419F" w:rsidP="004E419F">
      <w:pPr>
        <w:spacing w:after="240"/>
        <w:ind w:right="-22"/>
        <w:jc w:val="both"/>
        <w:rPr>
          <w:rFonts w:ascii="Lato-Regular" w:hAnsi="Lato-Regular"/>
          <w:color w:val="008F70"/>
          <w:sz w:val="16"/>
          <w:szCs w:val="16"/>
          <w:lang w:val="fr-FR"/>
        </w:rPr>
      </w:pPr>
      <w:r>
        <w:rPr>
          <w:rFonts w:ascii="Lato-Regular" w:hAnsi="Lato-Regular"/>
          <w:color w:val="008F70"/>
          <w:sz w:val="16"/>
          <w:szCs w:val="16"/>
          <w:lang w:val="fr-FR"/>
        </w:rPr>
        <w:t>R</w:t>
      </w:r>
      <w:r w:rsidRPr="00B77309">
        <w:rPr>
          <w:rFonts w:ascii="Lato-Regular" w:hAnsi="Lato-Regular"/>
          <w:color w:val="008F70"/>
          <w:sz w:val="16"/>
          <w:szCs w:val="16"/>
          <w:lang w:val="fr-FR"/>
        </w:rPr>
        <w:t>É</w:t>
      </w:r>
      <w:r>
        <w:rPr>
          <w:rFonts w:ascii="Lato-Regular" w:hAnsi="Lato-Regular"/>
          <w:color w:val="008F70"/>
          <w:sz w:val="16"/>
          <w:szCs w:val="16"/>
          <w:lang w:val="fr-FR"/>
        </w:rPr>
        <w:t>SULTATS</w:t>
      </w:r>
    </w:p>
    <w:p w14:paraId="3C5B8688" w14:textId="77777777" w:rsidR="004E419F" w:rsidRDefault="004E419F" w:rsidP="004E419F">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Le tableau 1 montre les différences dans les paramètres physiques (points joués, durée du match, etc.) et dans les variables liées au service et au retour selon le tournoi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xml:space="preserve"> et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ATP Finals).</w:t>
      </w:r>
    </w:p>
    <w:p w14:paraId="5F3A59DA" w14:textId="77777777" w:rsidR="004E419F" w:rsidRDefault="004E419F" w:rsidP="004E419F">
      <w:pPr>
        <w:spacing w:after="240"/>
        <w:ind w:right="-22"/>
        <w:jc w:val="both"/>
        <w:rPr>
          <w:rFonts w:ascii="Lato-Regular" w:hAnsi="Lato-Regular"/>
          <w:color w:val="000000"/>
          <w:sz w:val="16"/>
          <w:szCs w:val="16"/>
          <w:lang w:val="fr-FR"/>
        </w:rPr>
      </w:pPr>
    </w:p>
    <w:p w14:paraId="2A361BB3" w14:textId="77777777" w:rsidR="005B4457" w:rsidRDefault="005B4457" w:rsidP="004E419F">
      <w:pPr>
        <w:spacing w:after="240"/>
        <w:ind w:right="-22"/>
        <w:jc w:val="both"/>
        <w:rPr>
          <w:rFonts w:ascii="Lato-Regular" w:hAnsi="Lato-Regular"/>
          <w:color w:val="000000"/>
          <w:sz w:val="16"/>
          <w:szCs w:val="16"/>
          <w:lang w:val="fr-FR"/>
        </w:rPr>
      </w:pPr>
    </w:p>
    <w:p w14:paraId="78D16708" w14:textId="77777777" w:rsidR="005B4457" w:rsidRDefault="005B4457" w:rsidP="004E419F">
      <w:pPr>
        <w:spacing w:after="240"/>
        <w:ind w:right="-22"/>
        <w:jc w:val="both"/>
        <w:rPr>
          <w:rFonts w:ascii="Lato-Regular" w:hAnsi="Lato-Regular"/>
          <w:color w:val="000000"/>
          <w:sz w:val="16"/>
          <w:szCs w:val="16"/>
          <w:lang w:val="fr-FR"/>
        </w:rPr>
      </w:pPr>
    </w:p>
    <w:p w14:paraId="146AA947" w14:textId="77777777" w:rsidR="005B4457" w:rsidRDefault="005B4457" w:rsidP="004E419F">
      <w:pPr>
        <w:spacing w:after="240"/>
        <w:ind w:right="-22"/>
        <w:jc w:val="both"/>
        <w:rPr>
          <w:rFonts w:ascii="Lato-Regular" w:hAnsi="Lato-Regular"/>
          <w:color w:val="000000"/>
          <w:sz w:val="16"/>
          <w:szCs w:val="16"/>
          <w:lang w:val="fr-FR"/>
        </w:rPr>
      </w:pPr>
    </w:p>
    <w:p w14:paraId="5AECB693" w14:textId="77777777" w:rsidR="005B4457" w:rsidRDefault="005B4457" w:rsidP="004E419F">
      <w:pPr>
        <w:spacing w:after="240"/>
        <w:ind w:right="-22"/>
        <w:jc w:val="both"/>
        <w:rPr>
          <w:rFonts w:ascii="Lato-Regular" w:hAnsi="Lato-Regular"/>
          <w:color w:val="000000"/>
          <w:sz w:val="16"/>
          <w:szCs w:val="16"/>
          <w:lang w:val="fr-FR"/>
        </w:rPr>
      </w:pPr>
    </w:p>
    <w:p w14:paraId="4624FE91" w14:textId="77777777" w:rsidR="005B4457" w:rsidRDefault="005B4457" w:rsidP="004E419F">
      <w:pPr>
        <w:spacing w:after="240"/>
        <w:ind w:right="-22"/>
        <w:jc w:val="both"/>
        <w:rPr>
          <w:rFonts w:ascii="Lato-Regular" w:hAnsi="Lato-Regular"/>
          <w:color w:val="000000"/>
          <w:sz w:val="16"/>
          <w:szCs w:val="16"/>
          <w:lang w:val="fr-FR"/>
        </w:rPr>
      </w:pPr>
    </w:p>
    <w:p w14:paraId="1446E05D" w14:textId="77777777" w:rsidR="005B4457" w:rsidRDefault="005B4457" w:rsidP="004E419F">
      <w:pPr>
        <w:spacing w:after="240"/>
        <w:ind w:right="-22"/>
        <w:jc w:val="both"/>
        <w:rPr>
          <w:rFonts w:ascii="Lato-Regular" w:hAnsi="Lato-Regular"/>
          <w:color w:val="000000"/>
          <w:sz w:val="16"/>
          <w:szCs w:val="16"/>
          <w:lang w:val="fr-FR"/>
        </w:rPr>
      </w:pPr>
    </w:p>
    <w:p w14:paraId="46B9D5FC" w14:textId="77777777" w:rsidR="005B4457" w:rsidRDefault="005B4457" w:rsidP="004E419F">
      <w:pPr>
        <w:spacing w:after="240"/>
        <w:ind w:right="-22"/>
        <w:jc w:val="both"/>
        <w:rPr>
          <w:rFonts w:ascii="Lato-Regular" w:hAnsi="Lato-Regular"/>
          <w:color w:val="000000"/>
          <w:sz w:val="16"/>
          <w:szCs w:val="16"/>
          <w:lang w:val="fr-FR"/>
        </w:rPr>
      </w:pPr>
    </w:p>
    <w:p w14:paraId="2CBEAA68" w14:textId="77777777" w:rsidR="004E419F" w:rsidRDefault="004E419F" w:rsidP="004E419F">
      <w:pPr>
        <w:spacing w:after="240"/>
        <w:ind w:right="-22"/>
        <w:jc w:val="both"/>
        <w:rPr>
          <w:rFonts w:ascii="Lato-Regular" w:hAnsi="Lato-Regular"/>
          <w:color w:val="000000"/>
          <w:sz w:val="16"/>
          <w:szCs w:val="16"/>
          <w:lang w:val="fr-FR"/>
        </w:rPr>
      </w:pPr>
    </w:p>
    <w:p w14:paraId="299C1C58" w14:textId="77777777" w:rsidR="004E419F" w:rsidRDefault="004E419F" w:rsidP="004E419F">
      <w:pPr>
        <w:spacing w:after="240"/>
        <w:ind w:right="-22"/>
        <w:jc w:val="both"/>
        <w:rPr>
          <w:rFonts w:ascii="Lato-Regular" w:hAnsi="Lato-Regular"/>
          <w:color w:val="000000"/>
          <w:sz w:val="16"/>
          <w:szCs w:val="16"/>
          <w:lang w:val="fr-FR"/>
        </w:rPr>
      </w:pPr>
    </w:p>
    <w:p w14:paraId="64F81729" w14:textId="77777777" w:rsidR="004E419F" w:rsidRDefault="004E419F" w:rsidP="004E419F">
      <w:pPr>
        <w:spacing w:after="240"/>
        <w:ind w:right="-22"/>
        <w:jc w:val="both"/>
        <w:rPr>
          <w:rFonts w:ascii="Lato-Regular" w:hAnsi="Lato-Regular"/>
          <w:color w:val="000000"/>
          <w:sz w:val="16"/>
          <w:szCs w:val="16"/>
          <w:lang w:val="fr-FR"/>
        </w:rPr>
      </w:pPr>
    </w:p>
    <w:p w14:paraId="1C9D6CC5" w14:textId="77777777" w:rsidR="004E419F" w:rsidRDefault="004E419F" w:rsidP="004E419F">
      <w:pPr>
        <w:spacing w:after="240"/>
        <w:ind w:right="-22"/>
        <w:jc w:val="both"/>
        <w:rPr>
          <w:rFonts w:ascii="Lato-Regular" w:hAnsi="Lato-Regular"/>
          <w:color w:val="000000"/>
          <w:sz w:val="16"/>
          <w:szCs w:val="16"/>
          <w:lang w:val="fr-FR"/>
        </w:rPr>
      </w:pPr>
    </w:p>
    <w:tbl>
      <w:tblPr>
        <w:tblpPr w:leftFromText="180" w:rightFromText="180" w:vertAnchor="page" w:horzAnchor="page" w:tblpX="6104" w:tblpY="1123"/>
        <w:tblW w:w="5667" w:type="dxa"/>
        <w:tblCellMar>
          <w:left w:w="0" w:type="dxa"/>
          <w:right w:w="0" w:type="dxa"/>
        </w:tblCellMar>
        <w:tblLook w:val="04A0" w:firstRow="1" w:lastRow="0" w:firstColumn="1" w:lastColumn="0" w:noHBand="0" w:noVBand="1"/>
      </w:tblPr>
      <w:tblGrid>
        <w:gridCol w:w="2363"/>
        <w:gridCol w:w="1065"/>
        <w:gridCol w:w="1146"/>
        <w:gridCol w:w="612"/>
        <w:gridCol w:w="481"/>
      </w:tblGrid>
      <w:tr w:rsidR="004E419F" w:rsidRPr="005A7591" w14:paraId="782C914A" w14:textId="77777777" w:rsidTr="004E419F">
        <w:trPr>
          <w:trHeight w:val="297"/>
        </w:trPr>
        <w:tc>
          <w:tcPr>
            <w:tcW w:w="0" w:type="auto"/>
            <w:gridSpan w:val="5"/>
            <w:tcBorders>
              <w:top w:val="nil"/>
              <w:left w:val="nil"/>
              <w:bottom w:val="single" w:sz="6" w:space="0" w:color="000000"/>
              <w:right w:val="nil"/>
            </w:tcBorders>
            <w:tcMar>
              <w:top w:w="0" w:type="dxa"/>
              <w:left w:w="108" w:type="dxa"/>
              <w:bottom w:w="0" w:type="dxa"/>
              <w:right w:w="108" w:type="dxa"/>
            </w:tcMar>
            <w:vAlign w:val="center"/>
            <w:hideMark/>
          </w:tcPr>
          <w:p w14:paraId="14FAE4EA"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color w:val="000000"/>
                <w:sz w:val="16"/>
                <w:szCs w:val="16"/>
                <w:lang w:val="fr-FR"/>
              </w:rPr>
              <w:t>Tableau 1</w:t>
            </w:r>
            <w:r w:rsidRPr="005A7591">
              <w:rPr>
                <w:rFonts w:ascii="Lato-Regular" w:hAnsi="Lato-Regular"/>
                <w:color w:val="000000"/>
                <w:sz w:val="16"/>
                <w:szCs w:val="16"/>
                <w:lang w:val="fr-FR"/>
              </w:rPr>
              <w:t xml:space="preserve">. Différences entre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xml:space="preserve"> et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ATP Finals.</w:t>
            </w:r>
          </w:p>
        </w:tc>
      </w:tr>
      <w:tr w:rsidR="004E419F" w:rsidRPr="005A7591" w14:paraId="6E852032" w14:textId="77777777" w:rsidTr="004E419F">
        <w:trPr>
          <w:trHeight w:val="297"/>
        </w:trPr>
        <w:tc>
          <w:tcPr>
            <w:tcW w:w="0" w:type="auto"/>
            <w:tcBorders>
              <w:top w:val="single" w:sz="6" w:space="0" w:color="000000"/>
              <w:left w:val="nil"/>
              <w:bottom w:val="nil"/>
              <w:right w:val="nil"/>
            </w:tcBorders>
            <w:tcMar>
              <w:top w:w="0" w:type="dxa"/>
              <w:left w:w="108" w:type="dxa"/>
              <w:bottom w:w="0" w:type="dxa"/>
              <w:right w:w="108" w:type="dxa"/>
            </w:tcMar>
            <w:vAlign w:val="center"/>
            <w:hideMark/>
          </w:tcPr>
          <w:p w14:paraId="60CEAB2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0" w:type="auto"/>
            <w:tcBorders>
              <w:top w:val="single" w:sz="6" w:space="0" w:color="000000"/>
              <w:left w:val="nil"/>
              <w:bottom w:val="nil"/>
              <w:right w:val="nil"/>
            </w:tcBorders>
            <w:tcMar>
              <w:top w:w="0" w:type="dxa"/>
              <w:left w:w="108" w:type="dxa"/>
              <w:bottom w:w="0" w:type="dxa"/>
              <w:right w:w="108" w:type="dxa"/>
            </w:tcMar>
            <w:vAlign w:val="center"/>
            <w:hideMark/>
          </w:tcPr>
          <w:p w14:paraId="73881CE0" w14:textId="77777777" w:rsidR="004E419F" w:rsidRPr="005A7591" w:rsidRDefault="004E419F" w:rsidP="004E419F">
            <w:pPr>
              <w:spacing w:after="0"/>
              <w:ind w:right="-22"/>
              <w:jc w:val="both"/>
              <w:rPr>
                <w:rFonts w:ascii="Lato-Regular" w:hAnsi="Lato-Regular"/>
                <w:color w:val="000000"/>
                <w:sz w:val="16"/>
                <w:szCs w:val="16"/>
                <w:lang w:val="fr-FR"/>
              </w:rPr>
            </w:pPr>
            <w:proofErr w:type="spellStart"/>
            <w:r w:rsidRPr="005A7591">
              <w:rPr>
                <w:rFonts w:ascii="Lato-Regular" w:hAnsi="Lato-Regular"/>
                <w:b/>
                <w:bCs/>
                <w:color w:val="000000"/>
                <w:sz w:val="16"/>
                <w:szCs w:val="16"/>
                <w:lang w:val="fr-FR"/>
              </w:rPr>
              <w:t>Nitto</w:t>
            </w:r>
            <w:proofErr w:type="spellEnd"/>
          </w:p>
        </w:tc>
        <w:tc>
          <w:tcPr>
            <w:tcW w:w="0" w:type="auto"/>
            <w:tcBorders>
              <w:top w:val="single" w:sz="6" w:space="0" w:color="000000"/>
              <w:left w:val="nil"/>
              <w:bottom w:val="nil"/>
              <w:right w:val="nil"/>
            </w:tcBorders>
            <w:tcMar>
              <w:top w:w="0" w:type="dxa"/>
              <w:left w:w="108" w:type="dxa"/>
              <w:bottom w:w="0" w:type="dxa"/>
              <w:right w:w="108" w:type="dxa"/>
            </w:tcMar>
            <w:vAlign w:val="center"/>
            <w:hideMark/>
          </w:tcPr>
          <w:p w14:paraId="47C8C24C" w14:textId="77777777" w:rsidR="004E419F" w:rsidRPr="005A7591" w:rsidRDefault="004E419F" w:rsidP="004E419F">
            <w:pPr>
              <w:spacing w:after="0"/>
              <w:ind w:right="-22"/>
              <w:jc w:val="both"/>
              <w:rPr>
                <w:rFonts w:ascii="Lato-Regular" w:hAnsi="Lato-Regular"/>
                <w:color w:val="000000"/>
                <w:sz w:val="16"/>
                <w:szCs w:val="16"/>
                <w:lang w:val="fr-FR"/>
              </w:rPr>
            </w:pPr>
            <w:proofErr w:type="spellStart"/>
            <w:r w:rsidRPr="005A7591">
              <w:rPr>
                <w:rFonts w:ascii="Lato-Regular" w:hAnsi="Lato-Regular"/>
                <w:b/>
                <w:bCs/>
                <w:color w:val="000000"/>
                <w:sz w:val="16"/>
                <w:szCs w:val="16"/>
                <w:lang w:val="fr-FR"/>
              </w:rPr>
              <w:t>NextGen</w:t>
            </w:r>
            <w:proofErr w:type="spellEnd"/>
          </w:p>
        </w:tc>
        <w:tc>
          <w:tcPr>
            <w:tcW w:w="0" w:type="auto"/>
            <w:vMerge w:val="restart"/>
            <w:tcBorders>
              <w:top w:val="single" w:sz="6" w:space="0" w:color="000000"/>
              <w:left w:val="nil"/>
              <w:bottom w:val="single" w:sz="6" w:space="0" w:color="000000"/>
              <w:right w:val="nil"/>
            </w:tcBorders>
            <w:tcMar>
              <w:top w:w="0" w:type="dxa"/>
              <w:left w:w="108" w:type="dxa"/>
              <w:bottom w:w="0" w:type="dxa"/>
              <w:right w:w="108" w:type="dxa"/>
            </w:tcMar>
            <w:vAlign w:val="center"/>
            <w:hideMark/>
          </w:tcPr>
          <w:p w14:paraId="7BD2C070" w14:textId="77777777" w:rsidR="004E419F" w:rsidRPr="005A7591" w:rsidRDefault="004E419F" w:rsidP="004E419F">
            <w:pPr>
              <w:spacing w:after="0"/>
              <w:ind w:right="-22"/>
              <w:jc w:val="both"/>
              <w:rPr>
                <w:rFonts w:ascii="Lato-Regular" w:hAnsi="Lato-Regular"/>
                <w:color w:val="000000"/>
                <w:sz w:val="16"/>
                <w:szCs w:val="16"/>
                <w:lang w:val="fr-FR"/>
              </w:rPr>
            </w:pPr>
            <w:proofErr w:type="spellStart"/>
            <w:r w:rsidRPr="005A7591">
              <w:rPr>
                <w:rFonts w:ascii="Lato-Regular" w:hAnsi="Lato-Regular"/>
                <w:b/>
                <w:bCs/>
                <w:i/>
                <w:iCs/>
                <w:color w:val="000000"/>
                <w:sz w:val="16"/>
                <w:szCs w:val="16"/>
                <w:lang w:val="fr-FR"/>
              </w:rPr>
              <w:t>Dif</w:t>
            </w:r>
            <w:proofErr w:type="spellEnd"/>
          </w:p>
        </w:tc>
        <w:tc>
          <w:tcPr>
            <w:tcW w:w="0" w:type="auto"/>
            <w:vMerge w:val="restart"/>
            <w:tcBorders>
              <w:top w:val="single" w:sz="6" w:space="0" w:color="000000"/>
              <w:left w:val="nil"/>
              <w:bottom w:val="single" w:sz="6" w:space="0" w:color="000000"/>
              <w:right w:val="nil"/>
            </w:tcBorders>
            <w:tcMar>
              <w:top w:w="0" w:type="dxa"/>
              <w:left w:w="108" w:type="dxa"/>
              <w:bottom w:w="0" w:type="dxa"/>
              <w:right w:w="108" w:type="dxa"/>
            </w:tcMar>
            <w:vAlign w:val="center"/>
            <w:hideMark/>
          </w:tcPr>
          <w:p w14:paraId="5F2D78E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i/>
                <w:iCs/>
                <w:color w:val="000000"/>
                <w:sz w:val="16"/>
                <w:szCs w:val="16"/>
                <w:lang w:val="fr-FR"/>
              </w:rPr>
              <w:t>p</w:t>
            </w:r>
          </w:p>
        </w:tc>
      </w:tr>
      <w:tr w:rsidR="004E419F" w:rsidRPr="005A7591" w14:paraId="3B4B1289" w14:textId="77777777" w:rsidTr="004E419F">
        <w:trPr>
          <w:trHeight w:val="297"/>
        </w:trPr>
        <w:tc>
          <w:tcPr>
            <w:tcW w:w="0" w:type="auto"/>
            <w:tcBorders>
              <w:top w:val="nil"/>
              <w:left w:val="nil"/>
              <w:bottom w:val="single" w:sz="6" w:space="0" w:color="000000"/>
              <w:right w:val="nil"/>
            </w:tcBorders>
            <w:tcMar>
              <w:top w:w="0" w:type="dxa"/>
              <w:left w:w="108" w:type="dxa"/>
              <w:bottom w:w="0" w:type="dxa"/>
              <w:right w:w="108" w:type="dxa"/>
            </w:tcMar>
            <w:vAlign w:val="center"/>
            <w:hideMark/>
          </w:tcPr>
          <w:p w14:paraId="043100E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0" w:type="auto"/>
            <w:tcBorders>
              <w:top w:val="nil"/>
              <w:left w:val="nil"/>
              <w:bottom w:val="single" w:sz="6" w:space="0" w:color="000000"/>
              <w:right w:val="nil"/>
            </w:tcBorders>
            <w:tcMar>
              <w:top w:w="0" w:type="dxa"/>
              <w:left w:w="108" w:type="dxa"/>
              <w:bottom w:w="0" w:type="dxa"/>
              <w:right w:w="108" w:type="dxa"/>
            </w:tcMar>
            <w:vAlign w:val="center"/>
            <w:hideMark/>
          </w:tcPr>
          <w:p w14:paraId="66FD20CB"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color w:val="000000"/>
                <w:sz w:val="16"/>
                <w:szCs w:val="16"/>
                <w:lang w:val="fr-FR"/>
              </w:rPr>
              <w:t>M (ET)</w:t>
            </w:r>
          </w:p>
        </w:tc>
        <w:tc>
          <w:tcPr>
            <w:tcW w:w="0" w:type="auto"/>
            <w:tcBorders>
              <w:top w:val="nil"/>
              <w:left w:val="nil"/>
              <w:bottom w:val="single" w:sz="6" w:space="0" w:color="000000"/>
              <w:right w:val="nil"/>
            </w:tcBorders>
            <w:tcMar>
              <w:top w:w="0" w:type="dxa"/>
              <w:left w:w="108" w:type="dxa"/>
              <w:bottom w:w="0" w:type="dxa"/>
              <w:right w:w="108" w:type="dxa"/>
            </w:tcMar>
            <w:vAlign w:val="center"/>
            <w:hideMark/>
          </w:tcPr>
          <w:p w14:paraId="17DFFB6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color w:val="000000"/>
                <w:sz w:val="16"/>
                <w:szCs w:val="16"/>
                <w:lang w:val="fr-FR"/>
              </w:rPr>
              <w:t>M (ET)</w:t>
            </w:r>
          </w:p>
        </w:tc>
        <w:tc>
          <w:tcPr>
            <w:tcW w:w="0" w:type="auto"/>
            <w:vMerge/>
            <w:tcBorders>
              <w:top w:val="single" w:sz="6" w:space="0" w:color="000000"/>
              <w:left w:val="nil"/>
              <w:bottom w:val="single" w:sz="6" w:space="0" w:color="000000"/>
              <w:right w:val="nil"/>
            </w:tcBorders>
            <w:vAlign w:val="center"/>
            <w:hideMark/>
          </w:tcPr>
          <w:p w14:paraId="06BBF789" w14:textId="77777777" w:rsidR="004E419F" w:rsidRPr="005A7591" w:rsidRDefault="004E419F" w:rsidP="004E419F">
            <w:pPr>
              <w:spacing w:after="0"/>
              <w:ind w:right="-22"/>
              <w:jc w:val="both"/>
              <w:rPr>
                <w:rFonts w:ascii="Lato-Regular" w:hAnsi="Lato-Regular"/>
                <w:color w:val="000000"/>
                <w:sz w:val="16"/>
                <w:szCs w:val="16"/>
                <w:lang w:val="fr-FR"/>
              </w:rPr>
            </w:pPr>
          </w:p>
        </w:tc>
        <w:tc>
          <w:tcPr>
            <w:tcW w:w="0" w:type="auto"/>
            <w:vMerge/>
            <w:tcBorders>
              <w:top w:val="single" w:sz="6" w:space="0" w:color="000000"/>
              <w:left w:val="nil"/>
              <w:bottom w:val="single" w:sz="6" w:space="0" w:color="000000"/>
              <w:right w:val="nil"/>
            </w:tcBorders>
            <w:vAlign w:val="center"/>
            <w:hideMark/>
          </w:tcPr>
          <w:p w14:paraId="7413EBD4" w14:textId="77777777" w:rsidR="004E419F" w:rsidRPr="005A7591" w:rsidRDefault="004E419F" w:rsidP="004E419F">
            <w:pPr>
              <w:spacing w:after="0"/>
              <w:ind w:right="-22"/>
              <w:jc w:val="both"/>
              <w:rPr>
                <w:rFonts w:ascii="Lato-Regular" w:hAnsi="Lato-Regular"/>
                <w:color w:val="000000"/>
                <w:sz w:val="16"/>
                <w:szCs w:val="16"/>
                <w:lang w:val="fr-FR"/>
              </w:rPr>
            </w:pPr>
          </w:p>
        </w:tc>
      </w:tr>
      <w:tr w:rsidR="004E419F" w:rsidRPr="005A7591" w14:paraId="45F4302B" w14:textId="77777777" w:rsidTr="004E419F">
        <w:trPr>
          <w:trHeight w:val="297"/>
        </w:trPr>
        <w:tc>
          <w:tcPr>
            <w:tcW w:w="0" w:type="auto"/>
            <w:tcBorders>
              <w:top w:val="single" w:sz="6" w:space="0" w:color="000000"/>
              <w:left w:val="nil"/>
              <w:bottom w:val="nil"/>
              <w:right w:val="nil"/>
            </w:tcBorders>
            <w:tcMar>
              <w:top w:w="0" w:type="dxa"/>
              <w:left w:w="108" w:type="dxa"/>
              <w:bottom w:w="0" w:type="dxa"/>
              <w:right w:w="108" w:type="dxa"/>
            </w:tcMar>
            <w:vAlign w:val="center"/>
            <w:hideMark/>
          </w:tcPr>
          <w:p w14:paraId="4A12E89C" w14:textId="77777777" w:rsidR="004E419F" w:rsidRPr="005A7591" w:rsidRDefault="004E419F" w:rsidP="004E419F">
            <w:pPr>
              <w:spacing w:after="0"/>
              <w:ind w:right="-22"/>
              <w:jc w:val="both"/>
              <w:rPr>
                <w:rFonts w:ascii="Lato-Regular" w:hAnsi="Lato-Regular"/>
                <w:b/>
                <w:bCs/>
                <w:color w:val="000000"/>
                <w:sz w:val="16"/>
                <w:szCs w:val="16"/>
                <w:lang w:val="fr-FR"/>
              </w:rPr>
            </w:pPr>
            <w:r w:rsidRPr="005A7591">
              <w:rPr>
                <w:rFonts w:ascii="Lato-Regular" w:hAnsi="Lato-Regular"/>
                <w:b/>
                <w:bCs/>
                <w:color w:val="000000"/>
                <w:sz w:val="16"/>
                <w:szCs w:val="16"/>
                <w:lang w:val="fr-FR"/>
              </w:rPr>
              <w:t>Variables générales</w:t>
            </w:r>
          </w:p>
        </w:tc>
        <w:tc>
          <w:tcPr>
            <w:tcW w:w="0" w:type="auto"/>
            <w:tcBorders>
              <w:top w:val="single" w:sz="6" w:space="0" w:color="000000"/>
              <w:left w:val="nil"/>
              <w:bottom w:val="nil"/>
              <w:right w:val="nil"/>
            </w:tcBorders>
            <w:tcMar>
              <w:top w:w="0" w:type="dxa"/>
              <w:left w:w="108" w:type="dxa"/>
              <w:bottom w:w="0" w:type="dxa"/>
              <w:right w:w="108" w:type="dxa"/>
            </w:tcMar>
            <w:vAlign w:val="center"/>
            <w:hideMark/>
          </w:tcPr>
          <w:p w14:paraId="5272968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0" w:type="auto"/>
            <w:tcBorders>
              <w:top w:val="single" w:sz="6" w:space="0" w:color="000000"/>
              <w:left w:val="nil"/>
              <w:bottom w:val="nil"/>
              <w:right w:val="nil"/>
            </w:tcBorders>
            <w:tcMar>
              <w:top w:w="0" w:type="dxa"/>
              <w:left w:w="108" w:type="dxa"/>
              <w:bottom w:w="0" w:type="dxa"/>
              <w:right w:w="108" w:type="dxa"/>
            </w:tcMar>
            <w:vAlign w:val="center"/>
            <w:hideMark/>
          </w:tcPr>
          <w:p w14:paraId="11052AB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0" w:type="auto"/>
            <w:tcBorders>
              <w:top w:val="single" w:sz="6" w:space="0" w:color="000000"/>
              <w:left w:val="nil"/>
              <w:bottom w:val="nil"/>
              <w:right w:val="nil"/>
            </w:tcBorders>
            <w:tcMar>
              <w:top w:w="0" w:type="dxa"/>
              <w:left w:w="108" w:type="dxa"/>
              <w:bottom w:w="0" w:type="dxa"/>
              <w:right w:w="108" w:type="dxa"/>
            </w:tcMar>
            <w:vAlign w:val="center"/>
            <w:hideMark/>
          </w:tcPr>
          <w:p w14:paraId="0E452D8A"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0" w:type="auto"/>
            <w:tcBorders>
              <w:top w:val="single" w:sz="6" w:space="0" w:color="000000"/>
              <w:left w:val="nil"/>
              <w:bottom w:val="nil"/>
              <w:right w:val="nil"/>
            </w:tcBorders>
            <w:tcMar>
              <w:top w:w="0" w:type="dxa"/>
              <w:left w:w="108" w:type="dxa"/>
              <w:bottom w:w="0" w:type="dxa"/>
              <w:right w:w="108" w:type="dxa"/>
            </w:tcMar>
            <w:vAlign w:val="center"/>
            <w:hideMark/>
          </w:tcPr>
          <w:p w14:paraId="0EF0C64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r>
      <w:tr w:rsidR="004E419F" w:rsidRPr="005A7591" w14:paraId="64D8BFF2" w14:textId="77777777" w:rsidTr="004E419F">
        <w:trPr>
          <w:trHeight w:val="297"/>
        </w:trPr>
        <w:tc>
          <w:tcPr>
            <w:tcW w:w="0" w:type="auto"/>
            <w:tcMar>
              <w:top w:w="0" w:type="dxa"/>
              <w:left w:w="108" w:type="dxa"/>
              <w:bottom w:w="0" w:type="dxa"/>
              <w:right w:w="108" w:type="dxa"/>
            </w:tcMar>
            <w:vAlign w:val="center"/>
            <w:hideMark/>
          </w:tcPr>
          <w:p w14:paraId="43E8C44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Durée du match (min)</w:t>
            </w:r>
          </w:p>
        </w:tc>
        <w:tc>
          <w:tcPr>
            <w:tcW w:w="0" w:type="auto"/>
            <w:tcMar>
              <w:top w:w="0" w:type="dxa"/>
              <w:left w:w="108" w:type="dxa"/>
              <w:bottom w:w="0" w:type="dxa"/>
              <w:right w:w="108" w:type="dxa"/>
            </w:tcMar>
            <w:vAlign w:val="center"/>
            <w:hideMark/>
          </w:tcPr>
          <w:p w14:paraId="53BFA04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106.8 (39.51)</w:t>
            </w:r>
          </w:p>
        </w:tc>
        <w:tc>
          <w:tcPr>
            <w:tcW w:w="0" w:type="auto"/>
            <w:tcMar>
              <w:top w:w="0" w:type="dxa"/>
              <w:left w:w="108" w:type="dxa"/>
              <w:bottom w:w="0" w:type="dxa"/>
              <w:right w:w="108" w:type="dxa"/>
            </w:tcMar>
            <w:vAlign w:val="center"/>
            <w:hideMark/>
          </w:tcPr>
          <w:p w14:paraId="7974A99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84.53 (20.88)</w:t>
            </w:r>
          </w:p>
        </w:tc>
        <w:tc>
          <w:tcPr>
            <w:tcW w:w="0" w:type="auto"/>
            <w:tcMar>
              <w:top w:w="0" w:type="dxa"/>
              <w:left w:w="108" w:type="dxa"/>
              <w:bottom w:w="0" w:type="dxa"/>
              <w:right w:w="108" w:type="dxa"/>
            </w:tcMar>
            <w:vAlign w:val="center"/>
            <w:hideMark/>
          </w:tcPr>
          <w:p w14:paraId="0B9C0CD6"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22.27</w:t>
            </w:r>
          </w:p>
        </w:tc>
        <w:tc>
          <w:tcPr>
            <w:tcW w:w="0" w:type="auto"/>
            <w:tcMar>
              <w:top w:w="0" w:type="dxa"/>
              <w:left w:w="108" w:type="dxa"/>
              <w:bottom w:w="0" w:type="dxa"/>
              <w:right w:w="108" w:type="dxa"/>
            </w:tcMar>
            <w:vAlign w:val="center"/>
            <w:hideMark/>
          </w:tcPr>
          <w:p w14:paraId="7CA519B9"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.064</w:t>
            </w:r>
          </w:p>
        </w:tc>
      </w:tr>
      <w:tr w:rsidR="004E419F" w:rsidRPr="005A7591" w14:paraId="49AF9264" w14:textId="77777777" w:rsidTr="004E419F">
        <w:trPr>
          <w:trHeight w:val="297"/>
        </w:trPr>
        <w:tc>
          <w:tcPr>
            <w:tcW w:w="0" w:type="auto"/>
            <w:tcMar>
              <w:top w:w="0" w:type="dxa"/>
              <w:left w:w="108" w:type="dxa"/>
              <w:bottom w:w="0" w:type="dxa"/>
              <w:right w:w="108" w:type="dxa"/>
            </w:tcMar>
            <w:vAlign w:val="center"/>
            <w:hideMark/>
          </w:tcPr>
          <w:p w14:paraId="6A489CE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Durée du set  (min)</w:t>
            </w:r>
          </w:p>
        </w:tc>
        <w:tc>
          <w:tcPr>
            <w:tcW w:w="0" w:type="auto"/>
            <w:tcMar>
              <w:top w:w="0" w:type="dxa"/>
              <w:left w:w="108" w:type="dxa"/>
              <w:bottom w:w="0" w:type="dxa"/>
              <w:right w:w="108" w:type="dxa"/>
            </w:tcMar>
            <w:vAlign w:val="center"/>
            <w:hideMark/>
          </w:tcPr>
          <w:p w14:paraId="7EB90D28"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47.12 (12.14)</w:t>
            </w:r>
          </w:p>
        </w:tc>
        <w:tc>
          <w:tcPr>
            <w:tcW w:w="0" w:type="auto"/>
            <w:tcMar>
              <w:top w:w="0" w:type="dxa"/>
              <w:left w:w="108" w:type="dxa"/>
              <w:bottom w:w="0" w:type="dxa"/>
              <w:right w:w="108" w:type="dxa"/>
            </w:tcMar>
            <w:vAlign w:val="center"/>
            <w:hideMark/>
          </w:tcPr>
          <w:p w14:paraId="1C3AA84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23.05 (5.24)</w:t>
            </w:r>
          </w:p>
        </w:tc>
        <w:tc>
          <w:tcPr>
            <w:tcW w:w="0" w:type="auto"/>
            <w:tcMar>
              <w:top w:w="0" w:type="dxa"/>
              <w:left w:w="108" w:type="dxa"/>
              <w:bottom w:w="0" w:type="dxa"/>
              <w:right w:w="108" w:type="dxa"/>
            </w:tcMar>
            <w:vAlign w:val="center"/>
            <w:hideMark/>
          </w:tcPr>
          <w:p w14:paraId="115753B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-24.06</w:t>
            </w:r>
          </w:p>
        </w:tc>
        <w:tc>
          <w:tcPr>
            <w:tcW w:w="0" w:type="auto"/>
            <w:tcMar>
              <w:top w:w="0" w:type="dxa"/>
              <w:left w:w="108" w:type="dxa"/>
              <w:bottom w:w="0" w:type="dxa"/>
              <w:right w:w="108" w:type="dxa"/>
            </w:tcMar>
            <w:vAlign w:val="center"/>
            <w:hideMark/>
          </w:tcPr>
          <w:p w14:paraId="5E3245E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.000</w:t>
            </w:r>
          </w:p>
        </w:tc>
      </w:tr>
      <w:tr w:rsidR="004E419F" w:rsidRPr="005A7591" w14:paraId="247993BA" w14:textId="77777777" w:rsidTr="004E419F">
        <w:trPr>
          <w:trHeight w:val="297"/>
        </w:trPr>
        <w:tc>
          <w:tcPr>
            <w:tcW w:w="0" w:type="auto"/>
            <w:tcMar>
              <w:top w:w="0" w:type="dxa"/>
              <w:left w:w="108" w:type="dxa"/>
              <w:bottom w:w="0" w:type="dxa"/>
              <w:right w:w="108" w:type="dxa"/>
            </w:tcMar>
            <w:vAlign w:val="center"/>
            <w:hideMark/>
          </w:tcPr>
          <w:p w14:paraId="6F8FF55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Sets joués</w:t>
            </w:r>
          </w:p>
        </w:tc>
        <w:tc>
          <w:tcPr>
            <w:tcW w:w="0" w:type="auto"/>
            <w:tcMar>
              <w:top w:w="0" w:type="dxa"/>
              <w:left w:w="108" w:type="dxa"/>
              <w:bottom w:w="0" w:type="dxa"/>
              <w:right w:w="108" w:type="dxa"/>
            </w:tcMar>
            <w:vAlign w:val="center"/>
            <w:hideMark/>
          </w:tcPr>
          <w:p w14:paraId="00C51EB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2.35 (0.49)</w:t>
            </w:r>
          </w:p>
        </w:tc>
        <w:tc>
          <w:tcPr>
            <w:tcW w:w="0" w:type="auto"/>
            <w:tcMar>
              <w:top w:w="0" w:type="dxa"/>
              <w:left w:w="108" w:type="dxa"/>
              <w:bottom w:w="0" w:type="dxa"/>
              <w:right w:w="108" w:type="dxa"/>
            </w:tcMar>
            <w:vAlign w:val="center"/>
            <w:hideMark/>
          </w:tcPr>
          <w:p w14:paraId="25375CC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3.71 (0.60)</w:t>
            </w:r>
          </w:p>
        </w:tc>
        <w:tc>
          <w:tcPr>
            <w:tcW w:w="0" w:type="auto"/>
            <w:tcMar>
              <w:top w:w="0" w:type="dxa"/>
              <w:left w:w="108" w:type="dxa"/>
              <w:bottom w:w="0" w:type="dxa"/>
              <w:right w:w="108" w:type="dxa"/>
            </w:tcMar>
            <w:vAlign w:val="center"/>
            <w:hideMark/>
          </w:tcPr>
          <w:p w14:paraId="57EEBDB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-1.36</w:t>
            </w:r>
          </w:p>
        </w:tc>
        <w:tc>
          <w:tcPr>
            <w:tcW w:w="0" w:type="auto"/>
            <w:tcMar>
              <w:top w:w="0" w:type="dxa"/>
              <w:left w:w="108" w:type="dxa"/>
              <w:bottom w:w="0" w:type="dxa"/>
              <w:right w:w="108" w:type="dxa"/>
            </w:tcMar>
            <w:vAlign w:val="center"/>
            <w:hideMark/>
          </w:tcPr>
          <w:p w14:paraId="7CF0299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.000</w:t>
            </w:r>
          </w:p>
        </w:tc>
      </w:tr>
      <w:tr w:rsidR="004E419F" w:rsidRPr="005A7591" w14:paraId="2BD5416A" w14:textId="77777777" w:rsidTr="004E419F">
        <w:trPr>
          <w:trHeight w:val="297"/>
        </w:trPr>
        <w:tc>
          <w:tcPr>
            <w:tcW w:w="0" w:type="auto"/>
            <w:tcMar>
              <w:top w:w="0" w:type="dxa"/>
              <w:left w:w="108" w:type="dxa"/>
              <w:bottom w:w="0" w:type="dxa"/>
              <w:right w:w="108" w:type="dxa"/>
            </w:tcMar>
            <w:vAlign w:val="center"/>
            <w:hideMark/>
          </w:tcPr>
          <w:p w14:paraId="67250DD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Total de points joués (par match)</w:t>
            </w:r>
          </w:p>
        </w:tc>
        <w:tc>
          <w:tcPr>
            <w:tcW w:w="0" w:type="auto"/>
            <w:tcMar>
              <w:top w:w="0" w:type="dxa"/>
              <w:left w:w="108" w:type="dxa"/>
              <w:bottom w:w="0" w:type="dxa"/>
              <w:right w:w="108" w:type="dxa"/>
            </w:tcMar>
            <w:vAlign w:val="center"/>
            <w:hideMark/>
          </w:tcPr>
          <w:p w14:paraId="13904DE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147 (43.5)</w:t>
            </w:r>
          </w:p>
        </w:tc>
        <w:tc>
          <w:tcPr>
            <w:tcW w:w="0" w:type="auto"/>
            <w:tcMar>
              <w:top w:w="0" w:type="dxa"/>
              <w:left w:w="108" w:type="dxa"/>
              <w:bottom w:w="0" w:type="dxa"/>
              <w:right w:w="108" w:type="dxa"/>
            </w:tcMar>
            <w:vAlign w:val="center"/>
            <w:hideMark/>
          </w:tcPr>
          <w:p w14:paraId="2208EF6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122.27 (28.77)</w:t>
            </w:r>
          </w:p>
        </w:tc>
        <w:tc>
          <w:tcPr>
            <w:tcW w:w="0" w:type="auto"/>
            <w:tcMar>
              <w:top w:w="0" w:type="dxa"/>
              <w:left w:w="108" w:type="dxa"/>
              <w:bottom w:w="0" w:type="dxa"/>
              <w:right w:w="108" w:type="dxa"/>
            </w:tcMar>
            <w:vAlign w:val="center"/>
            <w:hideMark/>
          </w:tcPr>
          <w:p w14:paraId="4BD6335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24.73</w:t>
            </w:r>
          </w:p>
        </w:tc>
        <w:tc>
          <w:tcPr>
            <w:tcW w:w="0" w:type="auto"/>
            <w:tcMar>
              <w:top w:w="0" w:type="dxa"/>
              <w:left w:w="108" w:type="dxa"/>
              <w:bottom w:w="0" w:type="dxa"/>
              <w:right w:w="108" w:type="dxa"/>
            </w:tcMar>
            <w:vAlign w:val="center"/>
            <w:hideMark/>
          </w:tcPr>
          <w:p w14:paraId="737D5FE8"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.077</w:t>
            </w:r>
          </w:p>
        </w:tc>
      </w:tr>
      <w:tr w:rsidR="004E419F" w:rsidRPr="005A7591" w14:paraId="50637CBB" w14:textId="77777777" w:rsidTr="004E419F">
        <w:trPr>
          <w:trHeight w:val="297"/>
        </w:trPr>
        <w:tc>
          <w:tcPr>
            <w:tcW w:w="0" w:type="auto"/>
            <w:tcMar>
              <w:top w:w="0" w:type="dxa"/>
              <w:left w:w="108" w:type="dxa"/>
              <w:bottom w:w="0" w:type="dxa"/>
              <w:right w:w="108" w:type="dxa"/>
            </w:tcMar>
            <w:vAlign w:val="center"/>
            <w:hideMark/>
          </w:tcPr>
          <w:p w14:paraId="2F3B5C58"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Total de points joués (par set)</w:t>
            </w:r>
          </w:p>
        </w:tc>
        <w:tc>
          <w:tcPr>
            <w:tcW w:w="0" w:type="auto"/>
            <w:tcMar>
              <w:top w:w="0" w:type="dxa"/>
              <w:left w:w="108" w:type="dxa"/>
              <w:bottom w:w="0" w:type="dxa"/>
              <w:right w:w="108" w:type="dxa"/>
            </w:tcMar>
            <w:vAlign w:val="center"/>
            <w:hideMark/>
          </w:tcPr>
          <w:p w14:paraId="135277D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64.85 (14.13)</w:t>
            </w:r>
          </w:p>
        </w:tc>
        <w:tc>
          <w:tcPr>
            <w:tcW w:w="0" w:type="auto"/>
            <w:tcMar>
              <w:top w:w="0" w:type="dxa"/>
              <w:left w:w="108" w:type="dxa"/>
              <w:bottom w:w="0" w:type="dxa"/>
              <w:right w:w="108" w:type="dxa"/>
            </w:tcMar>
            <w:vAlign w:val="center"/>
            <w:hideMark/>
          </w:tcPr>
          <w:p w14:paraId="5DCBF46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33.35 (7.09)</w:t>
            </w:r>
          </w:p>
        </w:tc>
        <w:tc>
          <w:tcPr>
            <w:tcW w:w="0" w:type="auto"/>
            <w:tcMar>
              <w:top w:w="0" w:type="dxa"/>
              <w:left w:w="108" w:type="dxa"/>
              <w:bottom w:w="0" w:type="dxa"/>
              <w:right w:w="108" w:type="dxa"/>
            </w:tcMar>
            <w:vAlign w:val="center"/>
            <w:hideMark/>
          </w:tcPr>
          <w:p w14:paraId="746B0A7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31.50</w:t>
            </w:r>
          </w:p>
        </w:tc>
        <w:tc>
          <w:tcPr>
            <w:tcW w:w="0" w:type="auto"/>
            <w:tcMar>
              <w:top w:w="0" w:type="dxa"/>
              <w:left w:w="108" w:type="dxa"/>
              <w:bottom w:w="0" w:type="dxa"/>
              <w:right w:w="108" w:type="dxa"/>
            </w:tcMar>
            <w:vAlign w:val="center"/>
            <w:hideMark/>
          </w:tcPr>
          <w:p w14:paraId="497CB61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.000</w:t>
            </w:r>
          </w:p>
        </w:tc>
      </w:tr>
      <w:tr w:rsidR="004E419F" w:rsidRPr="005A7591" w14:paraId="18B03D10" w14:textId="77777777" w:rsidTr="004E419F">
        <w:trPr>
          <w:trHeight w:val="297"/>
        </w:trPr>
        <w:tc>
          <w:tcPr>
            <w:tcW w:w="0" w:type="auto"/>
            <w:tcMar>
              <w:top w:w="0" w:type="dxa"/>
              <w:left w:w="108" w:type="dxa"/>
              <w:bottom w:w="0" w:type="dxa"/>
              <w:right w:w="108" w:type="dxa"/>
            </w:tcMar>
            <w:vAlign w:val="center"/>
            <w:hideMark/>
          </w:tcPr>
          <w:p w14:paraId="13B4F7F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Jeux joués (par set)</w:t>
            </w:r>
          </w:p>
        </w:tc>
        <w:tc>
          <w:tcPr>
            <w:tcW w:w="0" w:type="auto"/>
            <w:tcMar>
              <w:top w:w="0" w:type="dxa"/>
              <w:left w:w="108" w:type="dxa"/>
              <w:bottom w:w="0" w:type="dxa"/>
              <w:right w:w="108" w:type="dxa"/>
            </w:tcMar>
            <w:vAlign w:val="center"/>
            <w:hideMark/>
          </w:tcPr>
          <w:p w14:paraId="209A6786"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10.35 (2.00)</w:t>
            </w:r>
          </w:p>
        </w:tc>
        <w:tc>
          <w:tcPr>
            <w:tcW w:w="0" w:type="auto"/>
            <w:tcMar>
              <w:top w:w="0" w:type="dxa"/>
              <w:left w:w="108" w:type="dxa"/>
              <w:bottom w:w="0" w:type="dxa"/>
              <w:right w:w="108" w:type="dxa"/>
            </w:tcMar>
            <w:vAlign w:val="center"/>
            <w:hideMark/>
          </w:tcPr>
          <w:p w14:paraId="5E82458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5.93 (0.94)</w:t>
            </w:r>
          </w:p>
        </w:tc>
        <w:tc>
          <w:tcPr>
            <w:tcW w:w="0" w:type="auto"/>
            <w:tcMar>
              <w:top w:w="0" w:type="dxa"/>
              <w:left w:w="108" w:type="dxa"/>
              <w:bottom w:w="0" w:type="dxa"/>
              <w:right w:w="108" w:type="dxa"/>
            </w:tcMar>
            <w:vAlign w:val="center"/>
            <w:hideMark/>
          </w:tcPr>
          <w:p w14:paraId="46B1978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4.24</w:t>
            </w:r>
          </w:p>
        </w:tc>
        <w:tc>
          <w:tcPr>
            <w:tcW w:w="0" w:type="auto"/>
            <w:tcMar>
              <w:top w:w="0" w:type="dxa"/>
              <w:left w:w="108" w:type="dxa"/>
              <w:bottom w:w="0" w:type="dxa"/>
              <w:right w:w="108" w:type="dxa"/>
            </w:tcMar>
            <w:vAlign w:val="center"/>
            <w:hideMark/>
          </w:tcPr>
          <w:p w14:paraId="260E967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.000</w:t>
            </w:r>
          </w:p>
        </w:tc>
      </w:tr>
      <w:tr w:rsidR="004E419F" w:rsidRPr="005A7591" w14:paraId="6C269F8D" w14:textId="77777777" w:rsidTr="004E419F">
        <w:trPr>
          <w:trHeight w:val="297"/>
        </w:trPr>
        <w:tc>
          <w:tcPr>
            <w:tcW w:w="0" w:type="auto"/>
            <w:tcMar>
              <w:top w:w="0" w:type="dxa"/>
              <w:left w:w="108" w:type="dxa"/>
              <w:bottom w:w="0" w:type="dxa"/>
              <w:right w:w="108" w:type="dxa"/>
            </w:tcMar>
            <w:vAlign w:val="center"/>
            <w:hideMark/>
          </w:tcPr>
          <w:p w14:paraId="3C2347C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color w:val="000000"/>
                <w:sz w:val="16"/>
                <w:szCs w:val="16"/>
                <w:lang w:val="fr-FR"/>
              </w:rPr>
              <w:t>Variables au service</w:t>
            </w:r>
          </w:p>
        </w:tc>
        <w:tc>
          <w:tcPr>
            <w:tcW w:w="0" w:type="auto"/>
            <w:tcMar>
              <w:top w:w="0" w:type="dxa"/>
              <w:left w:w="108" w:type="dxa"/>
              <w:bottom w:w="0" w:type="dxa"/>
              <w:right w:w="108" w:type="dxa"/>
            </w:tcMar>
            <w:vAlign w:val="center"/>
            <w:hideMark/>
          </w:tcPr>
          <w:p w14:paraId="3084B91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0" w:type="auto"/>
            <w:tcMar>
              <w:top w:w="0" w:type="dxa"/>
              <w:left w:w="108" w:type="dxa"/>
              <w:bottom w:w="0" w:type="dxa"/>
              <w:right w:w="108" w:type="dxa"/>
            </w:tcMar>
            <w:vAlign w:val="center"/>
            <w:hideMark/>
          </w:tcPr>
          <w:p w14:paraId="6EBE6CF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0" w:type="auto"/>
            <w:tcMar>
              <w:top w:w="0" w:type="dxa"/>
              <w:left w:w="108" w:type="dxa"/>
              <w:bottom w:w="0" w:type="dxa"/>
              <w:right w:w="108" w:type="dxa"/>
            </w:tcMar>
            <w:vAlign w:val="center"/>
            <w:hideMark/>
          </w:tcPr>
          <w:p w14:paraId="1A6835DA"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0" w:type="auto"/>
            <w:tcMar>
              <w:top w:w="0" w:type="dxa"/>
              <w:left w:w="108" w:type="dxa"/>
              <w:bottom w:w="0" w:type="dxa"/>
              <w:right w:w="108" w:type="dxa"/>
            </w:tcMar>
            <w:vAlign w:val="center"/>
            <w:hideMark/>
          </w:tcPr>
          <w:p w14:paraId="2AE69D2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r>
      <w:tr w:rsidR="004E419F" w:rsidRPr="005A7591" w14:paraId="7AB01A71" w14:textId="77777777" w:rsidTr="004E419F">
        <w:trPr>
          <w:trHeight w:val="297"/>
        </w:trPr>
        <w:tc>
          <w:tcPr>
            <w:tcW w:w="0" w:type="auto"/>
            <w:tcMar>
              <w:top w:w="0" w:type="dxa"/>
              <w:left w:w="108" w:type="dxa"/>
              <w:bottom w:w="0" w:type="dxa"/>
              <w:right w:w="108" w:type="dxa"/>
            </w:tcMar>
            <w:vAlign w:val="center"/>
            <w:hideMark/>
          </w:tcPr>
          <w:p w14:paraId="20C3D6A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Aces</w:t>
            </w:r>
          </w:p>
        </w:tc>
        <w:tc>
          <w:tcPr>
            <w:tcW w:w="0" w:type="auto"/>
            <w:tcMar>
              <w:top w:w="0" w:type="dxa"/>
              <w:left w:w="108" w:type="dxa"/>
              <w:bottom w:w="0" w:type="dxa"/>
              <w:right w:w="108" w:type="dxa"/>
            </w:tcMar>
            <w:vAlign w:val="center"/>
            <w:hideMark/>
          </w:tcPr>
          <w:p w14:paraId="140E132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13.8 (4.71)</w:t>
            </w:r>
          </w:p>
        </w:tc>
        <w:tc>
          <w:tcPr>
            <w:tcW w:w="0" w:type="auto"/>
            <w:tcMar>
              <w:top w:w="0" w:type="dxa"/>
              <w:left w:w="108" w:type="dxa"/>
              <w:bottom w:w="0" w:type="dxa"/>
              <w:right w:w="108" w:type="dxa"/>
            </w:tcMar>
            <w:vAlign w:val="center"/>
            <w:hideMark/>
          </w:tcPr>
          <w:p w14:paraId="7B01237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9.6 (4.97)</w:t>
            </w:r>
          </w:p>
        </w:tc>
        <w:tc>
          <w:tcPr>
            <w:tcW w:w="0" w:type="auto"/>
            <w:tcMar>
              <w:top w:w="0" w:type="dxa"/>
              <w:left w:w="108" w:type="dxa"/>
              <w:bottom w:w="0" w:type="dxa"/>
              <w:right w:w="108" w:type="dxa"/>
            </w:tcMar>
            <w:vAlign w:val="center"/>
            <w:hideMark/>
          </w:tcPr>
          <w:p w14:paraId="75B99E4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4.20</w:t>
            </w:r>
          </w:p>
        </w:tc>
        <w:tc>
          <w:tcPr>
            <w:tcW w:w="0" w:type="auto"/>
            <w:tcMar>
              <w:top w:w="0" w:type="dxa"/>
              <w:left w:w="108" w:type="dxa"/>
              <w:bottom w:w="0" w:type="dxa"/>
              <w:right w:w="108" w:type="dxa"/>
            </w:tcMar>
            <w:vAlign w:val="center"/>
            <w:hideMark/>
          </w:tcPr>
          <w:p w14:paraId="6CFB2B1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.025</w:t>
            </w:r>
          </w:p>
        </w:tc>
      </w:tr>
      <w:tr w:rsidR="004E419F" w:rsidRPr="005A7591" w14:paraId="46608C3C" w14:textId="77777777" w:rsidTr="004E419F">
        <w:trPr>
          <w:trHeight w:val="297"/>
        </w:trPr>
        <w:tc>
          <w:tcPr>
            <w:tcW w:w="0" w:type="auto"/>
            <w:tcMar>
              <w:top w:w="0" w:type="dxa"/>
              <w:left w:w="108" w:type="dxa"/>
              <w:bottom w:w="0" w:type="dxa"/>
              <w:right w:w="108" w:type="dxa"/>
            </w:tcMar>
            <w:vAlign w:val="center"/>
            <w:hideMark/>
          </w:tcPr>
          <w:p w14:paraId="50F35736"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Double fautes</w:t>
            </w:r>
          </w:p>
        </w:tc>
        <w:tc>
          <w:tcPr>
            <w:tcW w:w="0" w:type="auto"/>
            <w:tcMar>
              <w:top w:w="0" w:type="dxa"/>
              <w:left w:w="108" w:type="dxa"/>
              <w:bottom w:w="0" w:type="dxa"/>
              <w:right w:w="108" w:type="dxa"/>
            </w:tcMar>
            <w:vAlign w:val="center"/>
            <w:hideMark/>
          </w:tcPr>
          <w:p w14:paraId="22659DB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3.47 (2.07)</w:t>
            </w:r>
          </w:p>
        </w:tc>
        <w:tc>
          <w:tcPr>
            <w:tcW w:w="0" w:type="auto"/>
            <w:tcMar>
              <w:top w:w="0" w:type="dxa"/>
              <w:left w:w="108" w:type="dxa"/>
              <w:bottom w:w="0" w:type="dxa"/>
              <w:right w:w="108" w:type="dxa"/>
            </w:tcMar>
            <w:vAlign w:val="center"/>
            <w:hideMark/>
          </w:tcPr>
          <w:p w14:paraId="2F5F586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3.00 (2.07)</w:t>
            </w:r>
          </w:p>
        </w:tc>
        <w:tc>
          <w:tcPr>
            <w:tcW w:w="0" w:type="auto"/>
            <w:tcMar>
              <w:top w:w="0" w:type="dxa"/>
              <w:left w:w="108" w:type="dxa"/>
              <w:bottom w:w="0" w:type="dxa"/>
              <w:right w:w="108" w:type="dxa"/>
            </w:tcMar>
            <w:vAlign w:val="center"/>
            <w:hideMark/>
          </w:tcPr>
          <w:p w14:paraId="77D05896"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0.47</w:t>
            </w:r>
          </w:p>
        </w:tc>
        <w:tc>
          <w:tcPr>
            <w:tcW w:w="0" w:type="auto"/>
            <w:tcMar>
              <w:top w:w="0" w:type="dxa"/>
              <w:left w:w="108" w:type="dxa"/>
              <w:bottom w:w="0" w:type="dxa"/>
              <w:right w:w="108" w:type="dxa"/>
            </w:tcMar>
            <w:vAlign w:val="center"/>
            <w:hideMark/>
          </w:tcPr>
          <w:p w14:paraId="0EE37086"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.542</w:t>
            </w:r>
          </w:p>
        </w:tc>
      </w:tr>
      <w:tr w:rsidR="004E419F" w:rsidRPr="005A7591" w14:paraId="329D3B92" w14:textId="77777777" w:rsidTr="004E419F">
        <w:trPr>
          <w:trHeight w:val="297"/>
        </w:trPr>
        <w:tc>
          <w:tcPr>
            <w:tcW w:w="0" w:type="auto"/>
            <w:tcMar>
              <w:top w:w="0" w:type="dxa"/>
              <w:left w:w="108" w:type="dxa"/>
              <w:bottom w:w="0" w:type="dxa"/>
              <w:right w:w="108" w:type="dxa"/>
            </w:tcMar>
            <w:vAlign w:val="center"/>
            <w:hideMark/>
          </w:tcPr>
          <w:p w14:paraId="00F0C58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Ratio ace : double fautes</w:t>
            </w:r>
          </w:p>
        </w:tc>
        <w:tc>
          <w:tcPr>
            <w:tcW w:w="0" w:type="auto"/>
            <w:tcMar>
              <w:top w:w="0" w:type="dxa"/>
              <w:left w:w="108" w:type="dxa"/>
              <w:bottom w:w="0" w:type="dxa"/>
              <w:right w:w="108" w:type="dxa"/>
            </w:tcMar>
            <w:vAlign w:val="center"/>
            <w:hideMark/>
          </w:tcPr>
          <w:p w14:paraId="2FD746FB"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5.24 (3.46)</w:t>
            </w:r>
          </w:p>
        </w:tc>
        <w:tc>
          <w:tcPr>
            <w:tcW w:w="0" w:type="auto"/>
            <w:tcMar>
              <w:top w:w="0" w:type="dxa"/>
              <w:left w:w="108" w:type="dxa"/>
              <w:bottom w:w="0" w:type="dxa"/>
              <w:right w:w="108" w:type="dxa"/>
            </w:tcMar>
            <w:vAlign w:val="center"/>
            <w:hideMark/>
          </w:tcPr>
          <w:p w14:paraId="70CACAB9"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4.65 (4.47)</w:t>
            </w:r>
          </w:p>
        </w:tc>
        <w:tc>
          <w:tcPr>
            <w:tcW w:w="0" w:type="auto"/>
            <w:tcMar>
              <w:top w:w="0" w:type="dxa"/>
              <w:left w:w="108" w:type="dxa"/>
              <w:bottom w:w="0" w:type="dxa"/>
              <w:right w:w="108" w:type="dxa"/>
            </w:tcMar>
            <w:vAlign w:val="center"/>
            <w:hideMark/>
          </w:tcPr>
          <w:p w14:paraId="2ED001B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0.59</w:t>
            </w:r>
          </w:p>
        </w:tc>
        <w:tc>
          <w:tcPr>
            <w:tcW w:w="0" w:type="auto"/>
            <w:tcMar>
              <w:top w:w="0" w:type="dxa"/>
              <w:left w:w="108" w:type="dxa"/>
              <w:bottom w:w="0" w:type="dxa"/>
              <w:right w:w="108" w:type="dxa"/>
            </w:tcMar>
            <w:vAlign w:val="center"/>
            <w:hideMark/>
          </w:tcPr>
          <w:p w14:paraId="7CDFD938"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.691</w:t>
            </w:r>
          </w:p>
        </w:tc>
      </w:tr>
      <w:tr w:rsidR="004E419F" w:rsidRPr="005A7591" w14:paraId="4BEE9ACA" w14:textId="77777777" w:rsidTr="004E419F">
        <w:trPr>
          <w:trHeight w:val="297"/>
        </w:trPr>
        <w:tc>
          <w:tcPr>
            <w:tcW w:w="0" w:type="auto"/>
            <w:tcMar>
              <w:top w:w="0" w:type="dxa"/>
              <w:left w:w="108" w:type="dxa"/>
              <w:bottom w:w="0" w:type="dxa"/>
              <w:right w:w="108" w:type="dxa"/>
            </w:tcMar>
            <w:vAlign w:val="center"/>
            <w:hideMark/>
          </w:tcPr>
          <w:p w14:paraId="55031E3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Points joués sur 1</w:t>
            </w:r>
            <w:r w:rsidRPr="005A7591">
              <w:rPr>
                <w:rFonts w:ascii="Lato-Regular" w:hAnsi="Lato-Regular"/>
                <w:color w:val="000000"/>
                <w:sz w:val="16"/>
                <w:szCs w:val="16"/>
                <w:vertAlign w:val="superscript"/>
                <w:lang w:val="fr-FR"/>
              </w:rPr>
              <w:t>ère</w:t>
            </w:r>
            <w:r w:rsidRPr="005A7591">
              <w:rPr>
                <w:rFonts w:ascii="Lato-Regular" w:hAnsi="Lato-Regular"/>
                <w:color w:val="000000"/>
                <w:sz w:val="16"/>
                <w:szCs w:val="16"/>
                <w:lang w:val="fr-FR"/>
              </w:rPr>
              <w:t xml:space="preserve"> </w:t>
            </w:r>
          </w:p>
        </w:tc>
        <w:tc>
          <w:tcPr>
            <w:tcW w:w="0" w:type="auto"/>
            <w:tcMar>
              <w:top w:w="0" w:type="dxa"/>
              <w:left w:w="108" w:type="dxa"/>
              <w:bottom w:w="0" w:type="dxa"/>
              <w:right w:w="108" w:type="dxa"/>
            </w:tcMar>
            <w:vAlign w:val="center"/>
            <w:hideMark/>
          </w:tcPr>
          <w:p w14:paraId="73AA029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96.47 (25.36)</w:t>
            </w:r>
          </w:p>
        </w:tc>
        <w:tc>
          <w:tcPr>
            <w:tcW w:w="0" w:type="auto"/>
            <w:tcMar>
              <w:top w:w="0" w:type="dxa"/>
              <w:left w:w="108" w:type="dxa"/>
              <w:bottom w:w="0" w:type="dxa"/>
              <w:right w:w="108" w:type="dxa"/>
            </w:tcMar>
            <w:vAlign w:val="center"/>
            <w:hideMark/>
          </w:tcPr>
          <w:p w14:paraId="5C32049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78.07 (17.29)</w:t>
            </w:r>
          </w:p>
        </w:tc>
        <w:tc>
          <w:tcPr>
            <w:tcW w:w="0" w:type="auto"/>
            <w:tcMar>
              <w:top w:w="0" w:type="dxa"/>
              <w:left w:w="108" w:type="dxa"/>
              <w:bottom w:w="0" w:type="dxa"/>
              <w:right w:w="108" w:type="dxa"/>
            </w:tcMar>
            <w:vAlign w:val="center"/>
            <w:hideMark/>
          </w:tcPr>
          <w:p w14:paraId="05E6F57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18.40</w:t>
            </w:r>
          </w:p>
        </w:tc>
        <w:tc>
          <w:tcPr>
            <w:tcW w:w="0" w:type="auto"/>
            <w:tcMar>
              <w:top w:w="0" w:type="dxa"/>
              <w:left w:w="108" w:type="dxa"/>
              <w:bottom w:w="0" w:type="dxa"/>
              <w:right w:w="108" w:type="dxa"/>
            </w:tcMar>
            <w:vAlign w:val="center"/>
            <w:hideMark/>
          </w:tcPr>
          <w:p w14:paraId="0862A8B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.028</w:t>
            </w:r>
          </w:p>
        </w:tc>
      </w:tr>
      <w:tr w:rsidR="004E419F" w:rsidRPr="005A7591" w14:paraId="1837DC2E" w14:textId="77777777" w:rsidTr="004E419F">
        <w:trPr>
          <w:trHeight w:val="297"/>
        </w:trPr>
        <w:tc>
          <w:tcPr>
            <w:tcW w:w="0" w:type="auto"/>
            <w:tcMar>
              <w:top w:w="0" w:type="dxa"/>
              <w:left w:w="108" w:type="dxa"/>
              <w:bottom w:w="0" w:type="dxa"/>
              <w:right w:w="108" w:type="dxa"/>
            </w:tcMar>
            <w:vAlign w:val="center"/>
            <w:hideMark/>
          </w:tcPr>
          <w:p w14:paraId="1BB5275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w:t>
            </w:r>
            <w:r w:rsidRPr="005A7591">
              <w:rPr>
                <w:rFonts w:ascii="Lato-Regular" w:hAnsi="Lato-Regular"/>
                <w:color w:val="000000"/>
                <w:sz w:val="16"/>
                <w:szCs w:val="16"/>
                <w:vertAlign w:val="superscript"/>
                <w:lang w:val="fr-FR"/>
              </w:rPr>
              <w:t>er</w:t>
            </w:r>
            <w:r w:rsidRPr="005A7591">
              <w:rPr>
                <w:rFonts w:ascii="Lato-Regular" w:hAnsi="Lato-Regular"/>
                <w:color w:val="000000"/>
                <w:sz w:val="16"/>
                <w:szCs w:val="16"/>
                <w:lang w:val="fr-FR"/>
              </w:rPr>
              <w:t xml:space="preserve"> service (%)</w:t>
            </w:r>
          </w:p>
        </w:tc>
        <w:tc>
          <w:tcPr>
            <w:tcW w:w="0" w:type="auto"/>
            <w:tcMar>
              <w:top w:w="0" w:type="dxa"/>
              <w:left w:w="108" w:type="dxa"/>
              <w:bottom w:w="0" w:type="dxa"/>
              <w:right w:w="108" w:type="dxa"/>
            </w:tcMar>
            <w:vAlign w:val="center"/>
            <w:hideMark/>
          </w:tcPr>
          <w:p w14:paraId="0FB2833B"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66.24 (4.11)</w:t>
            </w:r>
          </w:p>
        </w:tc>
        <w:tc>
          <w:tcPr>
            <w:tcW w:w="0" w:type="auto"/>
            <w:tcMar>
              <w:top w:w="0" w:type="dxa"/>
              <w:left w:w="108" w:type="dxa"/>
              <w:bottom w:w="0" w:type="dxa"/>
              <w:right w:w="108" w:type="dxa"/>
            </w:tcMar>
            <w:vAlign w:val="center"/>
            <w:hideMark/>
          </w:tcPr>
          <w:p w14:paraId="4E612D5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64.54 (7.32)</w:t>
            </w:r>
          </w:p>
        </w:tc>
        <w:tc>
          <w:tcPr>
            <w:tcW w:w="0" w:type="auto"/>
            <w:tcMar>
              <w:top w:w="0" w:type="dxa"/>
              <w:left w:w="108" w:type="dxa"/>
              <w:bottom w:w="0" w:type="dxa"/>
              <w:right w:w="108" w:type="dxa"/>
            </w:tcMar>
            <w:vAlign w:val="center"/>
            <w:hideMark/>
          </w:tcPr>
          <w:p w14:paraId="01168589"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1.70</w:t>
            </w:r>
          </w:p>
        </w:tc>
        <w:tc>
          <w:tcPr>
            <w:tcW w:w="0" w:type="auto"/>
            <w:tcMar>
              <w:top w:w="0" w:type="dxa"/>
              <w:left w:w="108" w:type="dxa"/>
              <w:bottom w:w="0" w:type="dxa"/>
              <w:right w:w="108" w:type="dxa"/>
            </w:tcMar>
            <w:vAlign w:val="center"/>
            <w:hideMark/>
          </w:tcPr>
          <w:p w14:paraId="580D7B16"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.439</w:t>
            </w:r>
          </w:p>
        </w:tc>
      </w:tr>
      <w:tr w:rsidR="004E419F" w:rsidRPr="005A7591" w14:paraId="17EC7B42" w14:textId="77777777" w:rsidTr="004E419F">
        <w:trPr>
          <w:trHeight w:val="297"/>
        </w:trPr>
        <w:tc>
          <w:tcPr>
            <w:tcW w:w="0" w:type="auto"/>
            <w:tcMar>
              <w:top w:w="0" w:type="dxa"/>
              <w:left w:w="108" w:type="dxa"/>
              <w:bottom w:w="0" w:type="dxa"/>
              <w:right w:w="108" w:type="dxa"/>
            </w:tcMar>
            <w:vAlign w:val="center"/>
            <w:hideMark/>
          </w:tcPr>
          <w:p w14:paraId="32067FD8"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Total de P. gagnés 1</w:t>
            </w:r>
            <w:r w:rsidRPr="005A7591">
              <w:rPr>
                <w:rFonts w:ascii="Lato-Regular" w:hAnsi="Lato-Regular"/>
                <w:color w:val="000000"/>
                <w:sz w:val="16"/>
                <w:szCs w:val="16"/>
                <w:vertAlign w:val="superscript"/>
                <w:lang w:val="fr-FR"/>
              </w:rPr>
              <w:t>er</w:t>
            </w:r>
            <w:r w:rsidRPr="005A7591">
              <w:rPr>
                <w:rFonts w:ascii="Lato-Regular" w:hAnsi="Lato-Regular"/>
                <w:color w:val="000000"/>
                <w:sz w:val="16"/>
                <w:szCs w:val="16"/>
                <w:lang w:val="fr-FR"/>
              </w:rPr>
              <w:t xml:space="preserve"> service</w:t>
            </w:r>
          </w:p>
        </w:tc>
        <w:tc>
          <w:tcPr>
            <w:tcW w:w="0" w:type="auto"/>
            <w:tcMar>
              <w:top w:w="0" w:type="dxa"/>
              <w:left w:w="108" w:type="dxa"/>
              <w:bottom w:w="0" w:type="dxa"/>
              <w:right w:w="108" w:type="dxa"/>
            </w:tcMar>
            <w:vAlign w:val="center"/>
            <w:hideMark/>
          </w:tcPr>
          <w:p w14:paraId="3E633E9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71.33 (20.97)</w:t>
            </w:r>
          </w:p>
        </w:tc>
        <w:tc>
          <w:tcPr>
            <w:tcW w:w="0" w:type="auto"/>
            <w:tcMar>
              <w:top w:w="0" w:type="dxa"/>
              <w:left w:w="108" w:type="dxa"/>
              <w:bottom w:w="0" w:type="dxa"/>
              <w:right w:w="108" w:type="dxa"/>
            </w:tcMar>
            <w:vAlign w:val="center"/>
            <w:hideMark/>
          </w:tcPr>
          <w:p w14:paraId="0065C8E8"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56.67 (13.69)</w:t>
            </w:r>
          </w:p>
        </w:tc>
        <w:tc>
          <w:tcPr>
            <w:tcW w:w="0" w:type="auto"/>
            <w:tcMar>
              <w:top w:w="0" w:type="dxa"/>
              <w:left w:w="108" w:type="dxa"/>
              <w:bottom w:w="0" w:type="dxa"/>
              <w:right w:w="108" w:type="dxa"/>
            </w:tcMar>
            <w:vAlign w:val="center"/>
            <w:hideMark/>
          </w:tcPr>
          <w:p w14:paraId="5BD924C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14.66</w:t>
            </w:r>
          </w:p>
        </w:tc>
        <w:tc>
          <w:tcPr>
            <w:tcW w:w="0" w:type="auto"/>
            <w:tcMar>
              <w:top w:w="0" w:type="dxa"/>
              <w:left w:w="108" w:type="dxa"/>
              <w:bottom w:w="0" w:type="dxa"/>
              <w:right w:w="108" w:type="dxa"/>
            </w:tcMar>
            <w:vAlign w:val="center"/>
            <w:hideMark/>
          </w:tcPr>
          <w:p w14:paraId="3464BE7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.031</w:t>
            </w:r>
          </w:p>
        </w:tc>
      </w:tr>
      <w:tr w:rsidR="004E419F" w:rsidRPr="005A7591" w14:paraId="0AFC1970" w14:textId="77777777" w:rsidTr="004E419F">
        <w:trPr>
          <w:trHeight w:val="297"/>
        </w:trPr>
        <w:tc>
          <w:tcPr>
            <w:tcW w:w="0" w:type="auto"/>
            <w:tcMar>
              <w:top w:w="0" w:type="dxa"/>
              <w:left w:w="108" w:type="dxa"/>
              <w:bottom w:w="0" w:type="dxa"/>
              <w:right w:w="108" w:type="dxa"/>
            </w:tcMar>
            <w:vAlign w:val="center"/>
            <w:hideMark/>
          </w:tcPr>
          <w:p w14:paraId="66414F2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gagnés 1</w:t>
            </w:r>
            <w:r w:rsidRPr="005A7591">
              <w:rPr>
                <w:rFonts w:ascii="Lato-Regular" w:hAnsi="Lato-Regular"/>
                <w:color w:val="000000"/>
                <w:sz w:val="16"/>
                <w:szCs w:val="16"/>
                <w:vertAlign w:val="superscript"/>
                <w:lang w:val="fr-FR"/>
              </w:rPr>
              <w:t>er</w:t>
            </w:r>
            <w:r w:rsidRPr="005A7591">
              <w:rPr>
                <w:rFonts w:ascii="Lato-Regular" w:hAnsi="Lato-Regular"/>
                <w:color w:val="000000"/>
                <w:sz w:val="16"/>
                <w:szCs w:val="16"/>
                <w:lang w:val="fr-FR"/>
              </w:rPr>
              <w:t xml:space="preserve"> service (%)</w:t>
            </w:r>
          </w:p>
        </w:tc>
        <w:tc>
          <w:tcPr>
            <w:tcW w:w="0" w:type="auto"/>
            <w:tcMar>
              <w:top w:w="0" w:type="dxa"/>
              <w:left w:w="108" w:type="dxa"/>
              <w:bottom w:w="0" w:type="dxa"/>
              <w:right w:w="108" w:type="dxa"/>
            </w:tcMar>
            <w:vAlign w:val="center"/>
            <w:hideMark/>
          </w:tcPr>
          <w:p w14:paraId="728612C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73.49 (6.6)</w:t>
            </w:r>
          </w:p>
        </w:tc>
        <w:tc>
          <w:tcPr>
            <w:tcW w:w="0" w:type="auto"/>
            <w:tcMar>
              <w:top w:w="0" w:type="dxa"/>
              <w:left w:w="108" w:type="dxa"/>
              <w:bottom w:w="0" w:type="dxa"/>
              <w:right w:w="108" w:type="dxa"/>
            </w:tcMar>
            <w:vAlign w:val="center"/>
            <w:hideMark/>
          </w:tcPr>
          <w:p w14:paraId="1C8C7D4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72.33 (5.71)</w:t>
            </w:r>
          </w:p>
        </w:tc>
        <w:tc>
          <w:tcPr>
            <w:tcW w:w="0" w:type="auto"/>
            <w:tcMar>
              <w:top w:w="0" w:type="dxa"/>
              <w:left w:w="108" w:type="dxa"/>
              <w:bottom w:w="0" w:type="dxa"/>
              <w:right w:w="108" w:type="dxa"/>
            </w:tcMar>
            <w:vAlign w:val="center"/>
            <w:hideMark/>
          </w:tcPr>
          <w:p w14:paraId="54AE9376"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1.15</w:t>
            </w:r>
          </w:p>
        </w:tc>
        <w:tc>
          <w:tcPr>
            <w:tcW w:w="0" w:type="auto"/>
            <w:tcMar>
              <w:top w:w="0" w:type="dxa"/>
              <w:left w:w="108" w:type="dxa"/>
              <w:bottom w:w="0" w:type="dxa"/>
              <w:right w:w="108" w:type="dxa"/>
            </w:tcMar>
            <w:vAlign w:val="center"/>
            <w:hideMark/>
          </w:tcPr>
          <w:p w14:paraId="485BF61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.613</w:t>
            </w:r>
          </w:p>
        </w:tc>
      </w:tr>
      <w:tr w:rsidR="004E419F" w:rsidRPr="005A7591" w14:paraId="6C281CB7" w14:textId="77777777" w:rsidTr="004E419F">
        <w:trPr>
          <w:trHeight w:val="297"/>
        </w:trPr>
        <w:tc>
          <w:tcPr>
            <w:tcW w:w="0" w:type="auto"/>
            <w:tcMar>
              <w:top w:w="0" w:type="dxa"/>
              <w:left w:w="108" w:type="dxa"/>
              <w:bottom w:w="0" w:type="dxa"/>
              <w:right w:w="108" w:type="dxa"/>
            </w:tcMar>
            <w:vAlign w:val="center"/>
            <w:hideMark/>
          </w:tcPr>
          <w:p w14:paraId="04688BB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joués 2</w:t>
            </w:r>
            <w:r w:rsidRPr="005A7591">
              <w:rPr>
                <w:rFonts w:ascii="Lato-Regular" w:hAnsi="Lato-Regular"/>
                <w:color w:val="000000"/>
                <w:sz w:val="16"/>
                <w:szCs w:val="16"/>
                <w:vertAlign w:val="superscript"/>
                <w:lang w:val="fr-FR"/>
              </w:rPr>
              <w:t>ème</w:t>
            </w:r>
            <w:r w:rsidRPr="005A7591">
              <w:rPr>
                <w:rFonts w:ascii="Lato-Regular" w:hAnsi="Lato-Regular"/>
                <w:color w:val="000000"/>
                <w:sz w:val="16"/>
                <w:szCs w:val="16"/>
                <w:lang w:val="fr-FR"/>
              </w:rPr>
              <w:t xml:space="preserve"> service</w:t>
            </w:r>
          </w:p>
        </w:tc>
        <w:tc>
          <w:tcPr>
            <w:tcW w:w="0" w:type="auto"/>
            <w:tcMar>
              <w:top w:w="0" w:type="dxa"/>
              <w:left w:w="108" w:type="dxa"/>
              <w:bottom w:w="0" w:type="dxa"/>
              <w:right w:w="108" w:type="dxa"/>
            </w:tcMar>
            <w:vAlign w:val="center"/>
            <w:hideMark/>
          </w:tcPr>
          <w:p w14:paraId="39C3F35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50.53 (19.27)</w:t>
            </w:r>
          </w:p>
        </w:tc>
        <w:tc>
          <w:tcPr>
            <w:tcW w:w="0" w:type="auto"/>
            <w:tcMar>
              <w:top w:w="0" w:type="dxa"/>
              <w:left w:w="108" w:type="dxa"/>
              <w:bottom w:w="0" w:type="dxa"/>
              <w:right w:w="108" w:type="dxa"/>
            </w:tcMar>
            <w:vAlign w:val="center"/>
            <w:hideMark/>
          </w:tcPr>
          <w:p w14:paraId="2D5C56D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44.2 (15.61)</w:t>
            </w:r>
          </w:p>
        </w:tc>
        <w:tc>
          <w:tcPr>
            <w:tcW w:w="0" w:type="auto"/>
            <w:tcMar>
              <w:top w:w="0" w:type="dxa"/>
              <w:left w:w="108" w:type="dxa"/>
              <w:bottom w:w="0" w:type="dxa"/>
              <w:right w:w="108" w:type="dxa"/>
            </w:tcMar>
            <w:vAlign w:val="center"/>
            <w:hideMark/>
          </w:tcPr>
          <w:p w14:paraId="4A7C029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6.33</w:t>
            </w:r>
          </w:p>
        </w:tc>
        <w:tc>
          <w:tcPr>
            <w:tcW w:w="0" w:type="auto"/>
            <w:tcMar>
              <w:top w:w="0" w:type="dxa"/>
              <w:left w:w="108" w:type="dxa"/>
              <w:bottom w:w="0" w:type="dxa"/>
              <w:right w:w="108" w:type="dxa"/>
            </w:tcMar>
            <w:vAlign w:val="center"/>
            <w:hideMark/>
          </w:tcPr>
          <w:p w14:paraId="127D4E0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.331</w:t>
            </w:r>
          </w:p>
        </w:tc>
      </w:tr>
      <w:tr w:rsidR="004E419F" w:rsidRPr="005A7591" w14:paraId="0C50DC44" w14:textId="77777777" w:rsidTr="004E419F">
        <w:trPr>
          <w:trHeight w:val="297"/>
        </w:trPr>
        <w:tc>
          <w:tcPr>
            <w:tcW w:w="0" w:type="auto"/>
            <w:tcMar>
              <w:top w:w="0" w:type="dxa"/>
              <w:left w:w="108" w:type="dxa"/>
              <w:bottom w:w="0" w:type="dxa"/>
              <w:right w:w="108" w:type="dxa"/>
            </w:tcMar>
            <w:vAlign w:val="center"/>
            <w:hideMark/>
          </w:tcPr>
          <w:p w14:paraId="59E28A1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Total de P. gagnés 2</w:t>
            </w:r>
            <w:r w:rsidRPr="005A7591">
              <w:rPr>
                <w:rFonts w:ascii="Lato-Regular" w:hAnsi="Lato-Regular"/>
                <w:color w:val="000000"/>
                <w:sz w:val="16"/>
                <w:szCs w:val="16"/>
                <w:vertAlign w:val="superscript"/>
                <w:lang w:val="fr-FR"/>
              </w:rPr>
              <w:t>ème</w:t>
            </w:r>
            <w:r w:rsidRPr="005A7591">
              <w:rPr>
                <w:rFonts w:ascii="Lato-Regular" w:hAnsi="Lato-Regular"/>
                <w:color w:val="000000"/>
                <w:sz w:val="16"/>
                <w:szCs w:val="16"/>
                <w:lang w:val="fr-FR"/>
              </w:rPr>
              <w:t xml:space="preserve">  service</w:t>
            </w:r>
          </w:p>
        </w:tc>
        <w:tc>
          <w:tcPr>
            <w:tcW w:w="0" w:type="auto"/>
            <w:tcMar>
              <w:top w:w="0" w:type="dxa"/>
              <w:left w:w="108" w:type="dxa"/>
              <w:bottom w:w="0" w:type="dxa"/>
              <w:right w:w="108" w:type="dxa"/>
            </w:tcMar>
            <w:vAlign w:val="center"/>
            <w:hideMark/>
          </w:tcPr>
          <w:p w14:paraId="62D7BC76"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27.00 (10.4)</w:t>
            </w:r>
          </w:p>
        </w:tc>
        <w:tc>
          <w:tcPr>
            <w:tcW w:w="0" w:type="auto"/>
            <w:tcMar>
              <w:top w:w="0" w:type="dxa"/>
              <w:left w:w="108" w:type="dxa"/>
              <w:bottom w:w="0" w:type="dxa"/>
              <w:right w:w="108" w:type="dxa"/>
            </w:tcMar>
            <w:vAlign w:val="center"/>
            <w:hideMark/>
          </w:tcPr>
          <w:p w14:paraId="0965F89A"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23.53 (9.72)</w:t>
            </w:r>
          </w:p>
        </w:tc>
        <w:tc>
          <w:tcPr>
            <w:tcW w:w="0" w:type="auto"/>
            <w:tcMar>
              <w:top w:w="0" w:type="dxa"/>
              <w:left w:w="108" w:type="dxa"/>
              <w:bottom w:w="0" w:type="dxa"/>
              <w:right w:w="108" w:type="dxa"/>
            </w:tcMar>
            <w:vAlign w:val="center"/>
            <w:hideMark/>
          </w:tcPr>
          <w:p w14:paraId="27FED77B"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3.46</w:t>
            </w:r>
          </w:p>
        </w:tc>
        <w:tc>
          <w:tcPr>
            <w:tcW w:w="0" w:type="auto"/>
            <w:tcMar>
              <w:top w:w="0" w:type="dxa"/>
              <w:left w:w="108" w:type="dxa"/>
              <w:bottom w:w="0" w:type="dxa"/>
              <w:right w:w="108" w:type="dxa"/>
            </w:tcMar>
            <w:vAlign w:val="center"/>
            <w:hideMark/>
          </w:tcPr>
          <w:p w14:paraId="769D519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.354</w:t>
            </w:r>
          </w:p>
        </w:tc>
      </w:tr>
      <w:tr w:rsidR="004E419F" w:rsidRPr="005A7591" w14:paraId="145383B0" w14:textId="77777777" w:rsidTr="004E419F">
        <w:trPr>
          <w:trHeight w:val="297"/>
        </w:trPr>
        <w:tc>
          <w:tcPr>
            <w:tcW w:w="0" w:type="auto"/>
            <w:tcMar>
              <w:top w:w="0" w:type="dxa"/>
              <w:left w:w="108" w:type="dxa"/>
              <w:bottom w:w="0" w:type="dxa"/>
              <w:right w:w="108" w:type="dxa"/>
            </w:tcMar>
            <w:vAlign w:val="center"/>
            <w:hideMark/>
          </w:tcPr>
          <w:p w14:paraId="151EC34B"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gagnés 2</w:t>
            </w:r>
            <w:r w:rsidRPr="005A7591">
              <w:rPr>
                <w:rFonts w:ascii="Lato-Regular" w:hAnsi="Lato-Regular"/>
                <w:color w:val="000000"/>
                <w:sz w:val="16"/>
                <w:szCs w:val="16"/>
                <w:vertAlign w:val="superscript"/>
                <w:lang w:val="fr-FR"/>
              </w:rPr>
              <w:t>ème</w:t>
            </w:r>
            <w:r w:rsidRPr="005A7591">
              <w:rPr>
                <w:rFonts w:ascii="Lato-Regular" w:hAnsi="Lato-Regular"/>
                <w:color w:val="000000"/>
                <w:sz w:val="16"/>
                <w:szCs w:val="16"/>
                <w:lang w:val="fr-FR"/>
              </w:rPr>
              <w:t xml:space="preserve"> service (%)</w:t>
            </w:r>
          </w:p>
        </w:tc>
        <w:tc>
          <w:tcPr>
            <w:tcW w:w="0" w:type="auto"/>
            <w:tcMar>
              <w:top w:w="0" w:type="dxa"/>
              <w:left w:w="108" w:type="dxa"/>
              <w:bottom w:w="0" w:type="dxa"/>
              <w:right w:w="108" w:type="dxa"/>
            </w:tcMar>
            <w:vAlign w:val="center"/>
            <w:hideMark/>
          </w:tcPr>
          <w:p w14:paraId="5836DCA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53.53 (5.88)</w:t>
            </w:r>
          </w:p>
        </w:tc>
        <w:tc>
          <w:tcPr>
            <w:tcW w:w="0" w:type="auto"/>
            <w:tcMar>
              <w:top w:w="0" w:type="dxa"/>
              <w:left w:w="108" w:type="dxa"/>
              <w:bottom w:w="0" w:type="dxa"/>
              <w:right w:w="108" w:type="dxa"/>
            </w:tcMar>
            <w:vAlign w:val="center"/>
            <w:hideMark/>
          </w:tcPr>
          <w:p w14:paraId="4BBAD1C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52.24 (6.08)</w:t>
            </w:r>
          </w:p>
        </w:tc>
        <w:tc>
          <w:tcPr>
            <w:tcW w:w="0" w:type="auto"/>
            <w:tcMar>
              <w:top w:w="0" w:type="dxa"/>
              <w:left w:w="108" w:type="dxa"/>
              <w:bottom w:w="0" w:type="dxa"/>
              <w:right w:w="108" w:type="dxa"/>
            </w:tcMar>
            <w:vAlign w:val="center"/>
            <w:hideMark/>
          </w:tcPr>
          <w:p w14:paraId="590F599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1.28</w:t>
            </w:r>
          </w:p>
        </w:tc>
        <w:tc>
          <w:tcPr>
            <w:tcW w:w="0" w:type="auto"/>
            <w:tcMar>
              <w:top w:w="0" w:type="dxa"/>
              <w:left w:w="108" w:type="dxa"/>
              <w:bottom w:w="0" w:type="dxa"/>
              <w:right w:w="108" w:type="dxa"/>
            </w:tcMar>
            <w:vAlign w:val="center"/>
            <w:hideMark/>
          </w:tcPr>
          <w:p w14:paraId="3CEE12C9"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.561</w:t>
            </w:r>
          </w:p>
        </w:tc>
      </w:tr>
      <w:tr w:rsidR="004E419F" w:rsidRPr="005A7591" w14:paraId="187DD16F" w14:textId="77777777" w:rsidTr="004E419F">
        <w:trPr>
          <w:trHeight w:val="297"/>
        </w:trPr>
        <w:tc>
          <w:tcPr>
            <w:tcW w:w="0" w:type="auto"/>
            <w:tcMar>
              <w:top w:w="0" w:type="dxa"/>
              <w:left w:w="108" w:type="dxa"/>
              <w:bottom w:w="0" w:type="dxa"/>
              <w:right w:w="108" w:type="dxa"/>
            </w:tcMar>
            <w:vAlign w:val="center"/>
            <w:hideMark/>
          </w:tcPr>
          <w:p w14:paraId="62EFA22B"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gagnés au service</w:t>
            </w:r>
          </w:p>
        </w:tc>
        <w:tc>
          <w:tcPr>
            <w:tcW w:w="0" w:type="auto"/>
            <w:tcMar>
              <w:top w:w="0" w:type="dxa"/>
              <w:left w:w="108" w:type="dxa"/>
              <w:bottom w:w="0" w:type="dxa"/>
              <w:right w:w="108" w:type="dxa"/>
            </w:tcMar>
            <w:vAlign w:val="center"/>
            <w:hideMark/>
          </w:tcPr>
          <w:p w14:paraId="1E2D4468"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98.33 (30.23)</w:t>
            </w:r>
          </w:p>
        </w:tc>
        <w:tc>
          <w:tcPr>
            <w:tcW w:w="0" w:type="auto"/>
            <w:tcMar>
              <w:top w:w="0" w:type="dxa"/>
              <w:left w:w="108" w:type="dxa"/>
              <w:bottom w:w="0" w:type="dxa"/>
              <w:right w:w="108" w:type="dxa"/>
            </w:tcMar>
            <w:vAlign w:val="center"/>
            <w:hideMark/>
          </w:tcPr>
          <w:p w14:paraId="49A61C2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80.2 (19.65)</w:t>
            </w:r>
          </w:p>
        </w:tc>
        <w:tc>
          <w:tcPr>
            <w:tcW w:w="0" w:type="auto"/>
            <w:tcMar>
              <w:top w:w="0" w:type="dxa"/>
              <w:left w:w="108" w:type="dxa"/>
              <w:bottom w:w="0" w:type="dxa"/>
              <w:right w:w="108" w:type="dxa"/>
            </w:tcMar>
            <w:vAlign w:val="center"/>
            <w:hideMark/>
          </w:tcPr>
          <w:p w14:paraId="0491E95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18.13</w:t>
            </w:r>
          </w:p>
        </w:tc>
        <w:tc>
          <w:tcPr>
            <w:tcW w:w="0" w:type="auto"/>
            <w:tcMar>
              <w:top w:w="0" w:type="dxa"/>
              <w:left w:w="108" w:type="dxa"/>
              <w:bottom w:w="0" w:type="dxa"/>
              <w:right w:w="108" w:type="dxa"/>
            </w:tcMar>
            <w:vAlign w:val="center"/>
            <w:hideMark/>
          </w:tcPr>
          <w:p w14:paraId="6CB28AA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.062</w:t>
            </w:r>
          </w:p>
        </w:tc>
      </w:tr>
      <w:tr w:rsidR="004E419F" w:rsidRPr="005A7591" w14:paraId="6D9D41C5" w14:textId="77777777" w:rsidTr="004E419F">
        <w:trPr>
          <w:trHeight w:val="297"/>
        </w:trPr>
        <w:tc>
          <w:tcPr>
            <w:tcW w:w="0" w:type="auto"/>
            <w:tcMar>
              <w:top w:w="0" w:type="dxa"/>
              <w:left w:w="108" w:type="dxa"/>
              <w:bottom w:w="0" w:type="dxa"/>
              <w:right w:w="108" w:type="dxa"/>
            </w:tcMar>
            <w:vAlign w:val="center"/>
            <w:hideMark/>
          </w:tcPr>
          <w:p w14:paraId="2DD83B9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gagnés au service (%)</w:t>
            </w:r>
          </w:p>
        </w:tc>
        <w:tc>
          <w:tcPr>
            <w:tcW w:w="0" w:type="auto"/>
            <w:tcMar>
              <w:top w:w="0" w:type="dxa"/>
              <w:left w:w="108" w:type="dxa"/>
              <w:bottom w:w="0" w:type="dxa"/>
              <w:right w:w="108" w:type="dxa"/>
            </w:tcMar>
            <w:vAlign w:val="center"/>
            <w:hideMark/>
          </w:tcPr>
          <w:p w14:paraId="5B73908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66.73 (5.17)</w:t>
            </w:r>
          </w:p>
        </w:tc>
        <w:tc>
          <w:tcPr>
            <w:tcW w:w="0" w:type="auto"/>
            <w:tcMar>
              <w:top w:w="0" w:type="dxa"/>
              <w:left w:w="108" w:type="dxa"/>
              <w:bottom w:w="0" w:type="dxa"/>
              <w:right w:w="108" w:type="dxa"/>
            </w:tcMar>
            <w:vAlign w:val="center"/>
            <w:hideMark/>
          </w:tcPr>
          <w:p w14:paraId="7B7DA35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65.47 (4.05)</w:t>
            </w:r>
          </w:p>
        </w:tc>
        <w:tc>
          <w:tcPr>
            <w:tcW w:w="0" w:type="auto"/>
            <w:tcMar>
              <w:top w:w="0" w:type="dxa"/>
              <w:left w:w="108" w:type="dxa"/>
              <w:bottom w:w="0" w:type="dxa"/>
              <w:right w:w="108" w:type="dxa"/>
            </w:tcMar>
            <w:vAlign w:val="center"/>
            <w:hideMark/>
          </w:tcPr>
          <w:p w14:paraId="1DEF9E2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1.25</w:t>
            </w:r>
          </w:p>
        </w:tc>
        <w:tc>
          <w:tcPr>
            <w:tcW w:w="0" w:type="auto"/>
            <w:tcMar>
              <w:top w:w="0" w:type="dxa"/>
              <w:left w:w="108" w:type="dxa"/>
              <w:bottom w:w="0" w:type="dxa"/>
              <w:right w:w="108" w:type="dxa"/>
            </w:tcMar>
            <w:vAlign w:val="center"/>
            <w:hideMark/>
          </w:tcPr>
          <w:p w14:paraId="0C928FA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.465</w:t>
            </w:r>
          </w:p>
        </w:tc>
      </w:tr>
      <w:tr w:rsidR="004E419F" w:rsidRPr="005A7591" w14:paraId="7C993AE3" w14:textId="77777777" w:rsidTr="004E419F">
        <w:trPr>
          <w:trHeight w:val="297"/>
        </w:trPr>
        <w:tc>
          <w:tcPr>
            <w:tcW w:w="0" w:type="auto"/>
            <w:tcMar>
              <w:top w:w="0" w:type="dxa"/>
              <w:left w:w="108" w:type="dxa"/>
              <w:bottom w:w="0" w:type="dxa"/>
              <w:right w:w="108" w:type="dxa"/>
            </w:tcMar>
            <w:vAlign w:val="center"/>
            <w:hideMark/>
          </w:tcPr>
          <w:p w14:paraId="44F10F70" w14:textId="77777777" w:rsidR="004E419F" w:rsidRPr="005A7591" w:rsidRDefault="004E419F" w:rsidP="004E419F">
            <w:pPr>
              <w:spacing w:after="0"/>
              <w:ind w:right="-22"/>
              <w:jc w:val="both"/>
              <w:rPr>
                <w:rFonts w:ascii="Lato-Regular" w:hAnsi="Lato-Regular"/>
                <w:color w:val="000000"/>
                <w:sz w:val="16"/>
                <w:szCs w:val="16"/>
                <w:lang w:val="en-GB"/>
              </w:rPr>
            </w:pPr>
            <w:r w:rsidRPr="005A7591">
              <w:rPr>
                <w:rFonts w:ascii="Lato-Regular" w:hAnsi="Lato-Regular"/>
                <w:b/>
                <w:bCs/>
                <w:color w:val="000000"/>
                <w:sz w:val="16"/>
                <w:szCs w:val="16"/>
                <w:lang w:val="en-GB"/>
              </w:rPr>
              <w:t>Variables en retour</w:t>
            </w:r>
          </w:p>
        </w:tc>
        <w:tc>
          <w:tcPr>
            <w:tcW w:w="0" w:type="auto"/>
            <w:tcMar>
              <w:top w:w="0" w:type="dxa"/>
              <w:left w:w="108" w:type="dxa"/>
              <w:bottom w:w="0" w:type="dxa"/>
              <w:right w:w="108" w:type="dxa"/>
            </w:tcMar>
            <w:vAlign w:val="center"/>
            <w:hideMark/>
          </w:tcPr>
          <w:p w14:paraId="6EEA12AD" w14:textId="77777777" w:rsidR="004E419F" w:rsidRPr="005A7591" w:rsidRDefault="004E419F" w:rsidP="004E419F">
            <w:pPr>
              <w:spacing w:after="0"/>
              <w:ind w:right="-22"/>
              <w:jc w:val="both"/>
              <w:rPr>
                <w:rFonts w:ascii="Lato-Regular" w:hAnsi="Lato-Regular"/>
                <w:color w:val="000000"/>
                <w:sz w:val="16"/>
                <w:szCs w:val="16"/>
                <w:lang w:val="en-GB"/>
              </w:rPr>
            </w:pPr>
            <w:r w:rsidRPr="005A7591">
              <w:rPr>
                <w:rFonts w:ascii="Lato-Regular" w:hAnsi="Lato-Regular"/>
                <w:color w:val="000000"/>
                <w:sz w:val="16"/>
                <w:szCs w:val="16"/>
                <w:lang w:val="en-GB"/>
              </w:rPr>
              <w:t> </w:t>
            </w:r>
          </w:p>
        </w:tc>
        <w:tc>
          <w:tcPr>
            <w:tcW w:w="0" w:type="auto"/>
            <w:tcMar>
              <w:top w:w="0" w:type="dxa"/>
              <w:left w:w="108" w:type="dxa"/>
              <w:bottom w:w="0" w:type="dxa"/>
              <w:right w:w="108" w:type="dxa"/>
            </w:tcMar>
            <w:vAlign w:val="center"/>
            <w:hideMark/>
          </w:tcPr>
          <w:p w14:paraId="24DB72A2" w14:textId="77777777" w:rsidR="004E419F" w:rsidRPr="005A7591" w:rsidRDefault="004E419F" w:rsidP="004E419F">
            <w:pPr>
              <w:spacing w:after="0"/>
              <w:ind w:right="-22"/>
              <w:jc w:val="both"/>
              <w:rPr>
                <w:rFonts w:ascii="Lato-Regular" w:hAnsi="Lato-Regular"/>
                <w:color w:val="000000"/>
                <w:sz w:val="16"/>
                <w:szCs w:val="16"/>
                <w:lang w:val="en-GB"/>
              </w:rPr>
            </w:pPr>
            <w:r w:rsidRPr="005A7591">
              <w:rPr>
                <w:rFonts w:ascii="Lato-Regular" w:hAnsi="Lato-Regular"/>
                <w:color w:val="000000"/>
                <w:sz w:val="16"/>
                <w:szCs w:val="16"/>
                <w:lang w:val="en-GB"/>
              </w:rPr>
              <w:t> </w:t>
            </w:r>
          </w:p>
        </w:tc>
        <w:tc>
          <w:tcPr>
            <w:tcW w:w="0" w:type="auto"/>
            <w:tcMar>
              <w:top w:w="0" w:type="dxa"/>
              <w:left w:w="108" w:type="dxa"/>
              <w:bottom w:w="0" w:type="dxa"/>
              <w:right w:w="108" w:type="dxa"/>
            </w:tcMar>
            <w:vAlign w:val="center"/>
            <w:hideMark/>
          </w:tcPr>
          <w:p w14:paraId="11C96707" w14:textId="77777777" w:rsidR="004E419F" w:rsidRPr="005A7591" w:rsidRDefault="004E419F" w:rsidP="004E419F">
            <w:pPr>
              <w:spacing w:after="0"/>
              <w:ind w:right="-22"/>
              <w:jc w:val="both"/>
              <w:rPr>
                <w:rFonts w:ascii="Lato-Regular" w:hAnsi="Lato-Regular"/>
                <w:color w:val="000000"/>
                <w:sz w:val="16"/>
                <w:szCs w:val="16"/>
                <w:lang w:val="en-GB"/>
              </w:rPr>
            </w:pPr>
            <w:r w:rsidRPr="005A7591">
              <w:rPr>
                <w:rFonts w:ascii="Lato-Regular" w:hAnsi="Lato-Regular"/>
                <w:color w:val="000000"/>
                <w:sz w:val="16"/>
                <w:szCs w:val="16"/>
                <w:lang w:val="en-GB"/>
              </w:rPr>
              <w:t> </w:t>
            </w:r>
          </w:p>
        </w:tc>
        <w:tc>
          <w:tcPr>
            <w:tcW w:w="0" w:type="auto"/>
            <w:tcMar>
              <w:top w:w="0" w:type="dxa"/>
              <w:left w:w="108" w:type="dxa"/>
              <w:bottom w:w="0" w:type="dxa"/>
              <w:right w:w="108" w:type="dxa"/>
            </w:tcMar>
            <w:vAlign w:val="center"/>
            <w:hideMark/>
          </w:tcPr>
          <w:p w14:paraId="76823787" w14:textId="77777777" w:rsidR="004E419F" w:rsidRPr="005A7591" w:rsidRDefault="004E419F" w:rsidP="004E419F">
            <w:pPr>
              <w:spacing w:after="0"/>
              <w:ind w:right="-22"/>
              <w:jc w:val="both"/>
              <w:rPr>
                <w:rFonts w:ascii="Lato-Regular" w:hAnsi="Lato-Regular"/>
                <w:color w:val="000000"/>
                <w:sz w:val="16"/>
                <w:szCs w:val="16"/>
                <w:lang w:val="en-GB"/>
              </w:rPr>
            </w:pPr>
            <w:r w:rsidRPr="005A7591">
              <w:rPr>
                <w:rFonts w:ascii="Lato-Regular" w:hAnsi="Lato-Regular"/>
                <w:color w:val="000000"/>
                <w:sz w:val="16"/>
                <w:szCs w:val="16"/>
                <w:lang w:val="en-GB"/>
              </w:rPr>
              <w:t> </w:t>
            </w:r>
          </w:p>
        </w:tc>
      </w:tr>
      <w:tr w:rsidR="004E419F" w:rsidRPr="005A7591" w14:paraId="53A52840" w14:textId="77777777" w:rsidTr="004E419F">
        <w:trPr>
          <w:trHeight w:val="297"/>
        </w:trPr>
        <w:tc>
          <w:tcPr>
            <w:tcW w:w="0" w:type="auto"/>
            <w:tcMar>
              <w:top w:w="0" w:type="dxa"/>
              <w:left w:w="108" w:type="dxa"/>
              <w:bottom w:w="0" w:type="dxa"/>
              <w:right w:w="108" w:type="dxa"/>
            </w:tcMar>
            <w:vAlign w:val="center"/>
            <w:hideMark/>
          </w:tcPr>
          <w:p w14:paraId="1D75189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Balles de break gagnées </w:t>
            </w:r>
          </w:p>
        </w:tc>
        <w:tc>
          <w:tcPr>
            <w:tcW w:w="0" w:type="auto"/>
            <w:tcMar>
              <w:top w:w="0" w:type="dxa"/>
              <w:left w:w="108" w:type="dxa"/>
              <w:bottom w:w="0" w:type="dxa"/>
              <w:right w:w="108" w:type="dxa"/>
            </w:tcMar>
            <w:vAlign w:val="center"/>
            <w:hideMark/>
          </w:tcPr>
          <w:p w14:paraId="303E2C8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3.4 (1.8)</w:t>
            </w:r>
          </w:p>
        </w:tc>
        <w:tc>
          <w:tcPr>
            <w:tcW w:w="0" w:type="auto"/>
            <w:tcMar>
              <w:top w:w="0" w:type="dxa"/>
              <w:left w:w="108" w:type="dxa"/>
              <w:bottom w:w="0" w:type="dxa"/>
              <w:right w:w="108" w:type="dxa"/>
            </w:tcMar>
            <w:vAlign w:val="center"/>
            <w:hideMark/>
          </w:tcPr>
          <w:p w14:paraId="5C3E3929"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4.27 (1.71)</w:t>
            </w:r>
          </w:p>
        </w:tc>
        <w:tc>
          <w:tcPr>
            <w:tcW w:w="0" w:type="auto"/>
            <w:tcMar>
              <w:top w:w="0" w:type="dxa"/>
              <w:left w:w="108" w:type="dxa"/>
              <w:bottom w:w="0" w:type="dxa"/>
              <w:right w:w="108" w:type="dxa"/>
            </w:tcMar>
            <w:vAlign w:val="center"/>
            <w:hideMark/>
          </w:tcPr>
          <w:p w14:paraId="5A23D41A"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-0.87</w:t>
            </w:r>
          </w:p>
        </w:tc>
        <w:tc>
          <w:tcPr>
            <w:tcW w:w="0" w:type="auto"/>
            <w:tcMar>
              <w:top w:w="0" w:type="dxa"/>
              <w:left w:w="108" w:type="dxa"/>
              <w:bottom w:w="0" w:type="dxa"/>
              <w:right w:w="108" w:type="dxa"/>
            </w:tcMar>
            <w:vAlign w:val="center"/>
            <w:hideMark/>
          </w:tcPr>
          <w:p w14:paraId="2B8CCD1A"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.118</w:t>
            </w:r>
          </w:p>
        </w:tc>
      </w:tr>
      <w:tr w:rsidR="004E419F" w:rsidRPr="005A7591" w14:paraId="59B632C1" w14:textId="77777777" w:rsidTr="004E419F">
        <w:trPr>
          <w:trHeight w:val="297"/>
        </w:trPr>
        <w:tc>
          <w:tcPr>
            <w:tcW w:w="0" w:type="auto"/>
            <w:tcMar>
              <w:top w:w="0" w:type="dxa"/>
              <w:left w:w="108" w:type="dxa"/>
              <w:bottom w:w="0" w:type="dxa"/>
              <w:right w:w="108" w:type="dxa"/>
            </w:tcMar>
            <w:vAlign w:val="center"/>
            <w:hideMark/>
          </w:tcPr>
          <w:p w14:paraId="0205F5D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Balles de break jouées</w:t>
            </w:r>
          </w:p>
        </w:tc>
        <w:tc>
          <w:tcPr>
            <w:tcW w:w="0" w:type="auto"/>
            <w:tcMar>
              <w:top w:w="0" w:type="dxa"/>
              <w:left w:w="108" w:type="dxa"/>
              <w:bottom w:w="0" w:type="dxa"/>
              <w:right w:w="108" w:type="dxa"/>
            </w:tcMar>
            <w:vAlign w:val="center"/>
            <w:hideMark/>
          </w:tcPr>
          <w:p w14:paraId="39B61E9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8.6 (4.36)</w:t>
            </w:r>
          </w:p>
        </w:tc>
        <w:tc>
          <w:tcPr>
            <w:tcW w:w="0" w:type="auto"/>
            <w:tcMar>
              <w:top w:w="0" w:type="dxa"/>
              <w:left w:w="108" w:type="dxa"/>
              <w:bottom w:w="0" w:type="dxa"/>
              <w:right w:w="108" w:type="dxa"/>
            </w:tcMar>
            <w:vAlign w:val="center"/>
            <w:hideMark/>
          </w:tcPr>
          <w:p w14:paraId="1AC051A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11.47 (5.05)</w:t>
            </w:r>
          </w:p>
        </w:tc>
        <w:tc>
          <w:tcPr>
            <w:tcW w:w="0" w:type="auto"/>
            <w:tcMar>
              <w:top w:w="0" w:type="dxa"/>
              <w:left w:w="108" w:type="dxa"/>
              <w:bottom w:w="0" w:type="dxa"/>
              <w:right w:w="108" w:type="dxa"/>
            </w:tcMar>
            <w:vAlign w:val="center"/>
            <w:hideMark/>
          </w:tcPr>
          <w:p w14:paraId="5F08AF5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-2.86</w:t>
            </w:r>
          </w:p>
        </w:tc>
        <w:tc>
          <w:tcPr>
            <w:tcW w:w="0" w:type="auto"/>
            <w:tcMar>
              <w:top w:w="0" w:type="dxa"/>
              <w:left w:w="108" w:type="dxa"/>
              <w:bottom w:w="0" w:type="dxa"/>
              <w:right w:w="108" w:type="dxa"/>
            </w:tcMar>
            <w:vAlign w:val="center"/>
            <w:hideMark/>
          </w:tcPr>
          <w:p w14:paraId="6B3B36E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.107</w:t>
            </w:r>
          </w:p>
        </w:tc>
      </w:tr>
      <w:tr w:rsidR="004E419F" w:rsidRPr="005A7591" w14:paraId="558433AB" w14:textId="77777777" w:rsidTr="004E419F">
        <w:trPr>
          <w:trHeight w:val="297"/>
        </w:trPr>
        <w:tc>
          <w:tcPr>
            <w:tcW w:w="0" w:type="auto"/>
            <w:tcMar>
              <w:top w:w="0" w:type="dxa"/>
              <w:left w:w="108" w:type="dxa"/>
              <w:bottom w:w="0" w:type="dxa"/>
              <w:right w:w="108" w:type="dxa"/>
            </w:tcMar>
            <w:vAlign w:val="center"/>
            <w:hideMark/>
          </w:tcPr>
          <w:p w14:paraId="3DC5F34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Balles de break gagnées (%)</w:t>
            </w:r>
          </w:p>
        </w:tc>
        <w:tc>
          <w:tcPr>
            <w:tcW w:w="0" w:type="auto"/>
            <w:tcMar>
              <w:top w:w="0" w:type="dxa"/>
              <w:left w:w="108" w:type="dxa"/>
              <w:bottom w:w="0" w:type="dxa"/>
              <w:right w:w="108" w:type="dxa"/>
            </w:tcMar>
            <w:vAlign w:val="center"/>
            <w:hideMark/>
          </w:tcPr>
          <w:p w14:paraId="6E11AF9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44.33 (23.05)</w:t>
            </w:r>
          </w:p>
        </w:tc>
        <w:tc>
          <w:tcPr>
            <w:tcW w:w="0" w:type="auto"/>
            <w:tcMar>
              <w:top w:w="0" w:type="dxa"/>
              <w:left w:w="108" w:type="dxa"/>
              <w:bottom w:w="0" w:type="dxa"/>
              <w:right w:w="108" w:type="dxa"/>
            </w:tcMar>
            <w:vAlign w:val="center"/>
            <w:hideMark/>
          </w:tcPr>
          <w:p w14:paraId="378B4AA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43.83 (22.19)</w:t>
            </w:r>
          </w:p>
        </w:tc>
        <w:tc>
          <w:tcPr>
            <w:tcW w:w="0" w:type="auto"/>
            <w:tcMar>
              <w:top w:w="0" w:type="dxa"/>
              <w:left w:w="108" w:type="dxa"/>
              <w:bottom w:w="0" w:type="dxa"/>
              <w:right w:w="108" w:type="dxa"/>
            </w:tcMar>
            <w:vAlign w:val="center"/>
            <w:hideMark/>
          </w:tcPr>
          <w:p w14:paraId="75BB545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0.49</w:t>
            </w:r>
          </w:p>
        </w:tc>
        <w:tc>
          <w:tcPr>
            <w:tcW w:w="0" w:type="auto"/>
            <w:tcMar>
              <w:top w:w="0" w:type="dxa"/>
              <w:left w:w="108" w:type="dxa"/>
              <w:bottom w:w="0" w:type="dxa"/>
              <w:right w:w="108" w:type="dxa"/>
            </w:tcMar>
            <w:vAlign w:val="center"/>
            <w:hideMark/>
          </w:tcPr>
          <w:p w14:paraId="2EA0450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.953</w:t>
            </w:r>
          </w:p>
        </w:tc>
      </w:tr>
      <w:tr w:rsidR="004E419F" w:rsidRPr="005A7591" w14:paraId="5D003D5F" w14:textId="77777777" w:rsidTr="004E419F">
        <w:trPr>
          <w:trHeight w:val="297"/>
        </w:trPr>
        <w:tc>
          <w:tcPr>
            <w:tcW w:w="0" w:type="auto"/>
            <w:tcMar>
              <w:top w:w="0" w:type="dxa"/>
              <w:left w:w="108" w:type="dxa"/>
              <w:bottom w:w="0" w:type="dxa"/>
              <w:right w:w="108" w:type="dxa"/>
            </w:tcMar>
            <w:vAlign w:val="center"/>
            <w:hideMark/>
          </w:tcPr>
          <w:p w14:paraId="4BBF0E1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gagnés en retour</w:t>
            </w:r>
          </w:p>
        </w:tc>
        <w:tc>
          <w:tcPr>
            <w:tcW w:w="0" w:type="auto"/>
            <w:tcMar>
              <w:top w:w="0" w:type="dxa"/>
              <w:left w:w="108" w:type="dxa"/>
              <w:bottom w:w="0" w:type="dxa"/>
              <w:right w:w="108" w:type="dxa"/>
            </w:tcMar>
            <w:vAlign w:val="center"/>
            <w:hideMark/>
          </w:tcPr>
          <w:p w14:paraId="7B8BB86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48.67 (15.64)</w:t>
            </w:r>
          </w:p>
        </w:tc>
        <w:tc>
          <w:tcPr>
            <w:tcW w:w="0" w:type="auto"/>
            <w:tcMar>
              <w:top w:w="0" w:type="dxa"/>
              <w:left w:w="108" w:type="dxa"/>
              <w:bottom w:w="0" w:type="dxa"/>
              <w:right w:w="108" w:type="dxa"/>
            </w:tcMar>
            <w:vAlign w:val="center"/>
            <w:hideMark/>
          </w:tcPr>
          <w:p w14:paraId="3A2E4EE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42.07 (10.82)</w:t>
            </w:r>
          </w:p>
        </w:tc>
        <w:tc>
          <w:tcPr>
            <w:tcW w:w="0" w:type="auto"/>
            <w:tcMar>
              <w:top w:w="0" w:type="dxa"/>
              <w:left w:w="108" w:type="dxa"/>
              <w:bottom w:w="0" w:type="dxa"/>
              <w:right w:w="108" w:type="dxa"/>
            </w:tcMar>
            <w:vAlign w:val="center"/>
            <w:hideMark/>
          </w:tcPr>
          <w:p w14:paraId="1D9543E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6.60</w:t>
            </w:r>
          </w:p>
        </w:tc>
        <w:tc>
          <w:tcPr>
            <w:tcW w:w="0" w:type="auto"/>
            <w:tcMar>
              <w:top w:w="0" w:type="dxa"/>
              <w:left w:w="108" w:type="dxa"/>
              <w:bottom w:w="0" w:type="dxa"/>
              <w:right w:w="108" w:type="dxa"/>
            </w:tcMar>
            <w:vAlign w:val="center"/>
            <w:hideMark/>
          </w:tcPr>
          <w:p w14:paraId="025A4B1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.190</w:t>
            </w:r>
          </w:p>
        </w:tc>
      </w:tr>
      <w:tr w:rsidR="004E419F" w:rsidRPr="005A7591" w14:paraId="5316161D" w14:textId="77777777" w:rsidTr="004E419F">
        <w:trPr>
          <w:trHeight w:val="297"/>
        </w:trPr>
        <w:tc>
          <w:tcPr>
            <w:tcW w:w="0" w:type="auto"/>
            <w:tcBorders>
              <w:top w:val="nil"/>
              <w:left w:val="nil"/>
              <w:bottom w:val="single" w:sz="6" w:space="0" w:color="000000"/>
              <w:right w:val="nil"/>
            </w:tcBorders>
            <w:tcMar>
              <w:top w:w="0" w:type="dxa"/>
              <w:left w:w="108" w:type="dxa"/>
              <w:bottom w:w="0" w:type="dxa"/>
              <w:right w:w="108" w:type="dxa"/>
            </w:tcMar>
            <w:vAlign w:val="center"/>
            <w:hideMark/>
          </w:tcPr>
          <w:p w14:paraId="6D3F5B4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gagnés en retour (%)</w:t>
            </w:r>
          </w:p>
        </w:tc>
        <w:tc>
          <w:tcPr>
            <w:tcW w:w="0" w:type="auto"/>
            <w:tcBorders>
              <w:top w:val="nil"/>
              <w:left w:val="nil"/>
              <w:bottom w:val="single" w:sz="6" w:space="0" w:color="000000"/>
              <w:right w:val="nil"/>
            </w:tcBorders>
            <w:tcMar>
              <w:top w:w="0" w:type="dxa"/>
              <w:left w:w="108" w:type="dxa"/>
              <w:bottom w:w="0" w:type="dxa"/>
              <w:right w:w="108" w:type="dxa"/>
            </w:tcMar>
            <w:vAlign w:val="center"/>
            <w:hideMark/>
          </w:tcPr>
          <w:p w14:paraId="329E782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33.27 (5.17)</w:t>
            </w:r>
          </w:p>
        </w:tc>
        <w:tc>
          <w:tcPr>
            <w:tcW w:w="0" w:type="auto"/>
            <w:tcBorders>
              <w:top w:val="nil"/>
              <w:left w:val="nil"/>
              <w:bottom w:val="single" w:sz="6" w:space="0" w:color="000000"/>
              <w:right w:val="nil"/>
            </w:tcBorders>
            <w:tcMar>
              <w:top w:w="0" w:type="dxa"/>
              <w:left w:w="108" w:type="dxa"/>
              <w:bottom w:w="0" w:type="dxa"/>
              <w:right w:w="108" w:type="dxa"/>
            </w:tcMar>
            <w:vAlign w:val="center"/>
            <w:hideMark/>
          </w:tcPr>
          <w:p w14:paraId="04737E3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34.53 (4.05)</w:t>
            </w:r>
          </w:p>
        </w:tc>
        <w:tc>
          <w:tcPr>
            <w:tcW w:w="0" w:type="auto"/>
            <w:tcBorders>
              <w:top w:val="nil"/>
              <w:left w:val="nil"/>
              <w:bottom w:val="single" w:sz="6" w:space="0" w:color="000000"/>
              <w:right w:val="nil"/>
            </w:tcBorders>
            <w:tcMar>
              <w:top w:w="0" w:type="dxa"/>
              <w:left w:w="108" w:type="dxa"/>
              <w:bottom w:w="0" w:type="dxa"/>
              <w:right w:w="108" w:type="dxa"/>
            </w:tcMar>
            <w:vAlign w:val="center"/>
            <w:hideMark/>
          </w:tcPr>
          <w:p w14:paraId="5DBD602A"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-1.25</w:t>
            </w:r>
          </w:p>
        </w:tc>
        <w:tc>
          <w:tcPr>
            <w:tcW w:w="0" w:type="auto"/>
            <w:tcBorders>
              <w:top w:val="nil"/>
              <w:left w:val="nil"/>
              <w:bottom w:val="single" w:sz="6" w:space="0" w:color="000000"/>
              <w:right w:val="nil"/>
            </w:tcBorders>
            <w:tcMar>
              <w:top w:w="0" w:type="dxa"/>
              <w:left w:w="108" w:type="dxa"/>
              <w:bottom w:w="0" w:type="dxa"/>
              <w:right w:w="108" w:type="dxa"/>
            </w:tcMar>
            <w:vAlign w:val="center"/>
            <w:hideMark/>
          </w:tcPr>
          <w:p w14:paraId="451F0BD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.465</w:t>
            </w:r>
          </w:p>
        </w:tc>
      </w:tr>
      <w:tr w:rsidR="004E419F" w:rsidRPr="005A7591" w14:paraId="65E03E51" w14:textId="77777777" w:rsidTr="004E419F">
        <w:trPr>
          <w:trHeight w:val="297"/>
        </w:trPr>
        <w:tc>
          <w:tcPr>
            <w:tcW w:w="0" w:type="auto"/>
            <w:gridSpan w:val="5"/>
            <w:tcBorders>
              <w:top w:val="single" w:sz="6" w:space="0" w:color="000000"/>
              <w:left w:val="nil"/>
              <w:bottom w:val="nil"/>
              <w:right w:val="nil"/>
            </w:tcBorders>
            <w:tcMar>
              <w:top w:w="0" w:type="dxa"/>
              <w:left w:w="108" w:type="dxa"/>
              <w:bottom w:w="0" w:type="dxa"/>
              <w:right w:w="108" w:type="dxa"/>
            </w:tcMar>
            <w:hideMark/>
          </w:tcPr>
          <w:p w14:paraId="115B3CAA"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Légende </w:t>
            </w:r>
            <w:proofErr w:type="gramStart"/>
            <w:r w:rsidRPr="005A7591">
              <w:rPr>
                <w:rFonts w:ascii="Lato-Regular" w:hAnsi="Lato-Regular"/>
                <w:color w:val="000000"/>
                <w:sz w:val="16"/>
                <w:szCs w:val="16"/>
                <w:lang w:val="fr-FR"/>
              </w:rPr>
              <w:t>:  M</w:t>
            </w:r>
            <w:proofErr w:type="gramEnd"/>
            <w:r w:rsidRPr="005A7591">
              <w:rPr>
                <w:rFonts w:ascii="Lato-Regular" w:hAnsi="Lato-Regular"/>
                <w:color w:val="000000"/>
                <w:sz w:val="16"/>
                <w:szCs w:val="16"/>
                <w:lang w:val="fr-FR"/>
              </w:rPr>
              <w:t>: Moyenne; ET: Ecart-type ; Q: Points.</w:t>
            </w:r>
          </w:p>
          <w:p w14:paraId="74330F56" w14:textId="77777777" w:rsidR="004E419F" w:rsidRPr="005A7591" w:rsidRDefault="004E419F" w:rsidP="004E419F">
            <w:pPr>
              <w:spacing w:after="0"/>
              <w:ind w:right="-22"/>
              <w:jc w:val="both"/>
              <w:rPr>
                <w:rFonts w:ascii="Lato-Regular" w:hAnsi="Lato-Regular"/>
                <w:color w:val="000000"/>
                <w:sz w:val="16"/>
                <w:szCs w:val="16"/>
                <w:lang w:val="fr-FR"/>
              </w:rPr>
            </w:pPr>
          </w:p>
        </w:tc>
      </w:tr>
    </w:tbl>
    <w:p w14:paraId="774A4575" w14:textId="77777777" w:rsidR="004E419F" w:rsidRDefault="004E419F" w:rsidP="004E419F">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Le tableau 2 montre la différence des valeurs moyennes entre le gagnant et le perdant de chaque tournoi, ainsi que la comparaison entre les deux tournois. Les gagnants de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ont eu 17% de points de plus par set que les perdants, tandis que les gagnants de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xml:space="preserve"> ont eu 11% de points de plus que les perdants, ce qui montre des différences significatives entre les deux gagnants (p = 0,037).</w:t>
      </w:r>
    </w:p>
    <w:p w14:paraId="6644F6C9" w14:textId="77777777" w:rsidR="004E419F" w:rsidRDefault="004E419F" w:rsidP="004E419F">
      <w:pPr>
        <w:spacing w:after="240"/>
        <w:ind w:right="-22"/>
        <w:jc w:val="both"/>
        <w:rPr>
          <w:rFonts w:ascii="Lato-Regular" w:hAnsi="Lato-Regular"/>
          <w:color w:val="000000"/>
          <w:sz w:val="16"/>
          <w:szCs w:val="16"/>
          <w:lang w:val="fr-FR"/>
        </w:rPr>
      </w:pPr>
    </w:p>
    <w:p w14:paraId="62531011" w14:textId="77777777" w:rsidR="005B4457" w:rsidRDefault="005B4457" w:rsidP="004E419F">
      <w:pPr>
        <w:spacing w:after="240"/>
        <w:ind w:right="-22"/>
        <w:jc w:val="both"/>
        <w:rPr>
          <w:rFonts w:ascii="Lato-Regular" w:hAnsi="Lato-Regular"/>
          <w:color w:val="000000"/>
          <w:sz w:val="16"/>
          <w:szCs w:val="16"/>
          <w:lang w:val="fr-FR"/>
        </w:rPr>
      </w:pPr>
    </w:p>
    <w:p w14:paraId="279C4F1E" w14:textId="77777777" w:rsidR="005B4457" w:rsidRDefault="005B4457" w:rsidP="004E419F">
      <w:pPr>
        <w:spacing w:after="240"/>
        <w:ind w:right="-22"/>
        <w:jc w:val="both"/>
        <w:rPr>
          <w:rFonts w:ascii="Lato-Regular" w:hAnsi="Lato-Regular"/>
          <w:color w:val="000000"/>
          <w:sz w:val="16"/>
          <w:szCs w:val="16"/>
          <w:lang w:val="fr-FR"/>
        </w:rPr>
      </w:pPr>
    </w:p>
    <w:p w14:paraId="3293FDCD" w14:textId="77777777" w:rsidR="005B4457" w:rsidRDefault="005B4457" w:rsidP="004E419F">
      <w:pPr>
        <w:spacing w:after="240"/>
        <w:ind w:right="-22"/>
        <w:jc w:val="both"/>
        <w:rPr>
          <w:rFonts w:ascii="Lato-Regular" w:hAnsi="Lato-Regular"/>
          <w:color w:val="000000"/>
          <w:sz w:val="16"/>
          <w:szCs w:val="16"/>
          <w:lang w:val="fr-FR"/>
        </w:rPr>
      </w:pPr>
    </w:p>
    <w:p w14:paraId="727C7B62" w14:textId="77777777" w:rsidR="005B4457" w:rsidRPr="005A7591" w:rsidRDefault="005B4457" w:rsidP="004E419F">
      <w:pPr>
        <w:spacing w:after="240"/>
        <w:ind w:right="-22"/>
        <w:jc w:val="both"/>
        <w:rPr>
          <w:rFonts w:ascii="Lato-Regular" w:hAnsi="Lato-Regular"/>
          <w:color w:val="000000"/>
          <w:sz w:val="16"/>
          <w:szCs w:val="16"/>
          <w:lang w:val="fr-FR"/>
        </w:rPr>
      </w:pPr>
    </w:p>
    <w:tbl>
      <w:tblPr>
        <w:tblW w:w="5000" w:type="pct"/>
        <w:tblCellMar>
          <w:left w:w="0" w:type="dxa"/>
          <w:right w:w="0" w:type="dxa"/>
        </w:tblCellMar>
        <w:tblLook w:val="04A0" w:firstRow="1" w:lastRow="0" w:firstColumn="1" w:lastColumn="0" w:noHBand="0" w:noVBand="1"/>
      </w:tblPr>
      <w:tblGrid>
        <w:gridCol w:w="1703"/>
        <w:gridCol w:w="936"/>
        <w:gridCol w:w="936"/>
        <w:gridCol w:w="483"/>
        <w:gridCol w:w="402"/>
      </w:tblGrid>
      <w:tr w:rsidR="004E419F" w:rsidRPr="005A7591" w14:paraId="08D3AE5F" w14:textId="77777777" w:rsidTr="004E419F">
        <w:trPr>
          <w:trHeight w:val="20"/>
        </w:trPr>
        <w:tc>
          <w:tcPr>
            <w:tcW w:w="5000" w:type="pct"/>
            <w:gridSpan w:val="5"/>
            <w:tcBorders>
              <w:top w:val="nil"/>
              <w:left w:val="nil"/>
              <w:bottom w:val="single" w:sz="6" w:space="0" w:color="000000"/>
              <w:right w:val="nil"/>
            </w:tcBorders>
            <w:shd w:val="clear" w:color="auto" w:fill="FFFFFF"/>
            <w:tcMar>
              <w:top w:w="0" w:type="dxa"/>
              <w:left w:w="70" w:type="dxa"/>
              <w:bottom w:w="0" w:type="dxa"/>
              <w:right w:w="70" w:type="dxa"/>
            </w:tcMar>
            <w:hideMark/>
          </w:tcPr>
          <w:p w14:paraId="23F4FE7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color w:val="000000"/>
                <w:sz w:val="16"/>
                <w:szCs w:val="16"/>
                <w:lang w:val="fr-FR"/>
              </w:rPr>
              <w:lastRenderedPageBreak/>
              <w:t xml:space="preserve">Tableau 2. </w:t>
            </w:r>
            <w:r w:rsidRPr="005A7591">
              <w:rPr>
                <w:rFonts w:ascii="Lato-Regular" w:hAnsi="Lato-Regular"/>
                <w:color w:val="000000"/>
                <w:sz w:val="16"/>
                <w:szCs w:val="16"/>
                <w:lang w:val="fr-FR"/>
              </w:rPr>
              <w:t>Comparaison entre les tournois en fonction de la différence de performance des joueurs (victoire / défaite).</w:t>
            </w:r>
          </w:p>
        </w:tc>
      </w:tr>
      <w:tr w:rsidR="004E419F" w:rsidRPr="005A7591" w14:paraId="03A03EDF" w14:textId="77777777" w:rsidTr="004E419F">
        <w:trPr>
          <w:trHeight w:val="20"/>
        </w:trPr>
        <w:tc>
          <w:tcPr>
            <w:tcW w:w="2362" w:type="pct"/>
            <w:vMerge w:val="restart"/>
            <w:tcBorders>
              <w:top w:val="single" w:sz="6" w:space="0" w:color="000000"/>
              <w:left w:val="nil"/>
              <w:bottom w:val="single" w:sz="6" w:space="0" w:color="000000"/>
              <w:right w:val="nil"/>
            </w:tcBorders>
            <w:shd w:val="clear" w:color="auto" w:fill="FFFFFF"/>
            <w:tcMar>
              <w:top w:w="0" w:type="dxa"/>
              <w:left w:w="70" w:type="dxa"/>
              <w:bottom w:w="0" w:type="dxa"/>
              <w:right w:w="70" w:type="dxa"/>
            </w:tcMar>
            <w:vAlign w:val="center"/>
            <w:hideMark/>
          </w:tcPr>
          <w:p w14:paraId="3BD5256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color w:val="000000"/>
                <w:sz w:val="16"/>
                <w:szCs w:val="16"/>
                <w:lang w:val="fr-FR"/>
              </w:rPr>
              <w:t>Variables</w:t>
            </w:r>
          </w:p>
        </w:tc>
        <w:tc>
          <w:tcPr>
            <w:tcW w:w="959" w:type="pct"/>
            <w:tcBorders>
              <w:top w:val="single" w:sz="6" w:space="0" w:color="000000"/>
              <w:left w:val="nil"/>
              <w:bottom w:val="nil"/>
              <w:right w:val="nil"/>
            </w:tcBorders>
            <w:shd w:val="clear" w:color="auto" w:fill="FFFFFF"/>
            <w:tcMar>
              <w:top w:w="0" w:type="dxa"/>
              <w:left w:w="70" w:type="dxa"/>
              <w:bottom w:w="0" w:type="dxa"/>
              <w:right w:w="70" w:type="dxa"/>
            </w:tcMar>
            <w:vAlign w:val="center"/>
            <w:hideMark/>
          </w:tcPr>
          <w:p w14:paraId="7B082D9D" w14:textId="77777777" w:rsidR="004E419F" w:rsidRPr="005A7591" w:rsidRDefault="004E419F" w:rsidP="004E419F">
            <w:pPr>
              <w:spacing w:after="0"/>
              <w:ind w:right="-22"/>
              <w:jc w:val="both"/>
              <w:rPr>
                <w:rFonts w:ascii="Lato-Regular" w:hAnsi="Lato-Regular"/>
                <w:color w:val="000000"/>
                <w:sz w:val="16"/>
                <w:szCs w:val="16"/>
                <w:lang w:val="fr-FR"/>
              </w:rPr>
            </w:pPr>
            <w:proofErr w:type="spellStart"/>
            <w:r w:rsidRPr="005A7591">
              <w:rPr>
                <w:rFonts w:ascii="Lato-Regular" w:hAnsi="Lato-Regular"/>
                <w:b/>
                <w:bCs/>
                <w:color w:val="000000"/>
                <w:sz w:val="16"/>
                <w:szCs w:val="16"/>
                <w:lang w:val="fr-FR"/>
              </w:rPr>
              <w:t>Nitto</w:t>
            </w:r>
            <w:proofErr w:type="spellEnd"/>
          </w:p>
        </w:tc>
        <w:tc>
          <w:tcPr>
            <w:tcW w:w="921" w:type="pct"/>
            <w:tcBorders>
              <w:top w:val="single" w:sz="6" w:space="0" w:color="000000"/>
              <w:left w:val="nil"/>
              <w:bottom w:val="nil"/>
              <w:right w:val="nil"/>
            </w:tcBorders>
            <w:shd w:val="clear" w:color="auto" w:fill="FFFFFF"/>
            <w:tcMar>
              <w:top w:w="0" w:type="dxa"/>
              <w:left w:w="70" w:type="dxa"/>
              <w:bottom w:w="0" w:type="dxa"/>
              <w:right w:w="70" w:type="dxa"/>
            </w:tcMar>
            <w:vAlign w:val="center"/>
            <w:hideMark/>
          </w:tcPr>
          <w:p w14:paraId="03CADA66" w14:textId="77777777" w:rsidR="004E419F" w:rsidRPr="005A7591" w:rsidRDefault="004E419F" w:rsidP="004E419F">
            <w:pPr>
              <w:spacing w:after="0"/>
              <w:ind w:right="-22"/>
              <w:jc w:val="both"/>
              <w:rPr>
                <w:rFonts w:ascii="Lato-Regular" w:hAnsi="Lato-Regular"/>
                <w:color w:val="000000"/>
                <w:sz w:val="16"/>
                <w:szCs w:val="16"/>
                <w:lang w:val="fr-FR"/>
              </w:rPr>
            </w:pPr>
            <w:proofErr w:type="spellStart"/>
            <w:r w:rsidRPr="005A7591">
              <w:rPr>
                <w:rFonts w:ascii="Lato-Regular" w:hAnsi="Lato-Regular"/>
                <w:b/>
                <w:bCs/>
                <w:color w:val="000000"/>
                <w:sz w:val="16"/>
                <w:szCs w:val="16"/>
                <w:lang w:val="fr-FR"/>
              </w:rPr>
              <w:t>NextGen</w:t>
            </w:r>
            <w:proofErr w:type="spellEnd"/>
          </w:p>
        </w:tc>
        <w:tc>
          <w:tcPr>
            <w:tcW w:w="415" w:type="pct"/>
            <w:vMerge w:val="restart"/>
            <w:tcBorders>
              <w:top w:val="single" w:sz="6" w:space="0" w:color="000000"/>
              <w:left w:val="nil"/>
              <w:bottom w:val="single" w:sz="6" w:space="0" w:color="000000"/>
              <w:right w:val="nil"/>
            </w:tcBorders>
            <w:shd w:val="clear" w:color="auto" w:fill="FFFFFF"/>
            <w:tcMar>
              <w:top w:w="0" w:type="dxa"/>
              <w:left w:w="70" w:type="dxa"/>
              <w:bottom w:w="0" w:type="dxa"/>
              <w:right w:w="70" w:type="dxa"/>
            </w:tcMar>
            <w:vAlign w:val="center"/>
            <w:hideMark/>
          </w:tcPr>
          <w:p w14:paraId="18291FFF"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i/>
                <w:iCs/>
                <w:color w:val="000000"/>
                <w:sz w:val="16"/>
                <w:szCs w:val="16"/>
                <w:lang w:val="fr-FR"/>
              </w:rPr>
              <w:t>F</w:t>
            </w:r>
          </w:p>
        </w:tc>
        <w:tc>
          <w:tcPr>
            <w:tcW w:w="343" w:type="pct"/>
            <w:vMerge w:val="restart"/>
            <w:tcBorders>
              <w:top w:val="single" w:sz="6" w:space="0" w:color="000000"/>
              <w:left w:val="nil"/>
              <w:bottom w:val="single" w:sz="6" w:space="0" w:color="000000"/>
              <w:right w:val="nil"/>
            </w:tcBorders>
            <w:shd w:val="clear" w:color="auto" w:fill="FFFFFF"/>
            <w:tcMar>
              <w:top w:w="0" w:type="dxa"/>
              <w:left w:w="70" w:type="dxa"/>
              <w:bottom w:w="0" w:type="dxa"/>
              <w:right w:w="70" w:type="dxa"/>
            </w:tcMar>
            <w:vAlign w:val="center"/>
            <w:hideMark/>
          </w:tcPr>
          <w:p w14:paraId="7CBD422A"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i/>
                <w:iCs/>
                <w:color w:val="000000"/>
                <w:sz w:val="16"/>
                <w:szCs w:val="16"/>
                <w:lang w:val="fr-FR"/>
              </w:rPr>
              <w:t>p</w:t>
            </w:r>
          </w:p>
        </w:tc>
      </w:tr>
      <w:tr w:rsidR="004E419F" w:rsidRPr="005A7591" w14:paraId="567BE615" w14:textId="77777777" w:rsidTr="004E419F">
        <w:trPr>
          <w:trHeight w:val="20"/>
        </w:trPr>
        <w:tc>
          <w:tcPr>
            <w:tcW w:w="2362" w:type="pct"/>
            <w:vMerge/>
            <w:tcBorders>
              <w:top w:val="single" w:sz="6" w:space="0" w:color="000000"/>
              <w:left w:val="nil"/>
              <w:bottom w:val="single" w:sz="6" w:space="0" w:color="000000"/>
              <w:right w:val="nil"/>
            </w:tcBorders>
            <w:vAlign w:val="center"/>
            <w:hideMark/>
          </w:tcPr>
          <w:p w14:paraId="35989CFF" w14:textId="77777777" w:rsidR="004E419F" w:rsidRPr="005A7591" w:rsidRDefault="004E419F" w:rsidP="004E419F">
            <w:pPr>
              <w:spacing w:after="0"/>
              <w:ind w:right="-22"/>
              <w:jc w:val="both"/>
              <w:rPr>
                <w:rFonts w:ascii="Lato-Regular" w:hAnsi="Lato-Regular"/>
                <w:color w:val="000000"/>
                <w:sz w:val="16"/>
                <w:szCs w:val="16"/>
                <w:lang w:val="fr-FR"/>
              </w:rPr>
            </w:pPr>
          </w:p>
        </w:tc>
        <w:tc>
          <w:tcPr>
            <w:tcW w:w="959" w:type="pct"/>
            <w:tcBorders>
              <w:top w:val="nil"/>
              <w:left w:val="nil"/>
              <w:bottom w:val="single" w:sz="6" w:space="0" w:color="000000"/>
              <w:right w:val="nil"/>
            </w:tcBorders>
            <w:shd w:val="clear" w:color="auto" w:fill="FFFFFF"/>
            <w:tcMar>
              <w:top w:w="0" w:type="dxa"/>
              <w:left w:w="70" w:type="dxa"/>
              <w:bottom w:w="0" w:type="dxa"/>
              <w:right w:w="70" w:type="dxa"/>
            </w:tcMar>
            <w:vAlign w:val="center"/>
            <w:hideMark/>
          </w:tcPr>
          <w:p w14:paraId="3ACBAE0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color w:val="000000"/>
                <w:sz w:val="16"/>
                <w:szCs w:val="16"/>
                <w:lang w:val="fr-FR"/>
              </w:rPr>
              <w:t>M (DT)</w:t>
            </w:r>
          </w:p>
        </w:tc>
        <w:tc>
          <w:tcPr>
            <w:tcW w:w="921" w:type="pct"/>
            <w:tcBorders>
              <w:top w:val="nil"/>
              <w:left w:val="nil"/>
              <w:bottom w:val="single" w:sz="6" w:space="0" w:color="000000"/>
              <w:right w:val="nil"/>
            </w:tcBorders>
            <w:shd w:val="clear" w:color="auto" w:fill="FFFFFF"/>
            <w:tcMar>
              <w:top w:w="0" w:type="dxa"/>
              <w:left w:w="70" w:type="dxa"/>
              <w:bottom w:w="0" w:type="dxa"/>
              <w:right w:w="70" w:type="dxa"/>
            </w:tcMar>
            <w:vAlign w:val="center"/>
            <w:hideMark/>
          </w:tcPr>
          <w:p w14:paraId="32DF9EF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color w:val="000000"/>
                <w:sz w:val="16"/>
                <w:szCs w:val="16"/>
                <w:lang w:val="fr-FR"/>
              </w:rPr>
              <w:t>M (DT)</w:t>
            </w:r>
          </w:p>
        </w:tc>
        <w:tc>
          <w:tcPr>
            <w:tcW w:w="415" w:type="pct"/>
            <w:vMerge/>
            <w:tcBorders>
              <w:top w:val="single" w:sz="6" w:space="0" w:color="000000"/>
              <w:left w:val="nil"/>
              <w:bottom w:val="single" w:sz="6" w:space="0" w:color="000000"/>
              <w:right w:val="nil"/>
            </w:tcBorders>
            <w:vAlign w:val="center"/>
            <w:hideMark/>
          </w:tcPr>
          <w:p w14:paraId="47E1C5C4" w14:textId="77777777" w:rsidR="004E419F" w:rsidRPr="005A7591" w:rsidRDefault="004E419F" w:rsidP="004E419F">
            <w:pPr>
              <w:spacing w:after="0"/>
              <w:ind w:right="-22"/>
              <w:jc w:val="both"/>
              <w:rPr>
                <w:rFonts w:ascii="Lato-Regular" w:hAnsi="Lato-Regular"/>
                <w:color w:val="000000"/>
                <w:sz w:val="16"/>
                <w:szCs w:val="16"/>
                <w:lang w:val="fr-FR"/>
              </w:rPr>
            </w:pPr>
          </w:p>
        </w:tc>
        <w:tc>
          <w:tcPr>
            <w:tcW w:w="343" w:type="pct"/>
            <w:vMerge/>
            <w:tcBorders>
              <w:top w:val="single" w:sz="6" w:space="0" w:color="000000"/>
              <w:left w:val="nil"/>
              <w:bottom w:val="single" w:sz="6" w:space="0" w:color="000000"/>
              <w:right w:val="nil"/>
            </w:tcBorders>
            <w:vAlign w:val="center"/>
            <w:hideMark/>
          </w:tcPr>
          <w:p w14:paraId="3B6CC2DA" w14:textId="77777777" w:rsidR="004E419F" w:rsidRPr="005A7591" w:rsidRDefault="004E419F" w:rsidP="004E419F">
            <w:pPr>
              <w:spacing w:after="0"/>
              <w:ind w:right="-22"/>
              <w:jc w:val="both"/>
              <w:rPr>
                <w:rFonts w:ascii="Lato-Regular" w:hAnsi="Lato-Regular"/>
                <w:color w:val="000000"/>
                <w:sz w:val="16"/>
                <w:szCs w:val="16"/>
                <w:lang w:val="fr-FR"/>
              </w:rPr>
            </w:pPr>
          </w:p>
        </w:tc>
      </w:tr>
      <w:tr w:rsidR="004E419F" w:rsidRPr="005A7591" w14:paraId="6ED54CB0" w14:textId="77777777" w:rsidTr="004E419F">
        <w:trPr>
          <w:trHeight w:val="20"/>
        </w:trPr>
        <w:tc>
          <w:tcPr>
            <w:tcW w:w="2362" w:type="pct"/>
            <w:shd w:val="clear" w:color="auto" w:fill="FFFFFF"/>
            <w:tcMar>
              <w:top w:w="0" w:type="dxa"/>
              <w:left w:w="70" w:type="dxa"/>
              <w:bottom w:w="0" w:type="dxa"/>
              <w:right w:w="70" w:type="dxa"/>
            </w:tcMar>
            <w:vAlign w:val="center"/>
            <w:hideMark/>
          </w:tcPr>
          <w:p w14:paraId="6A36990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color w:val="000000"/>
                <w:sz w:val="16"/>
                <w:szCs w:val="16"/>
                <w:lang w:val="fr-FR"/>
              </w:rPr>
              <w:t>Variables générales</w:t>
            </w:r>
          </w:p>
        </w:tc>
        <w:tc>
          <w:tcPr>
            <w:tcW w:w="959" w:type="pct"/>
            <w:shd w:val="clear" w:color="auto" w:fill="FFFFFF"/>
            <w:tcMar>
              <w:top w:w="0" w:type="dxa"/>
              <w:left w:w="70" w:type="dxa"/>
              <w:bottom w:w="0" w:type="dxa"/>
              <w:right w:w="70" w:type="dxa"/>
            </w:tcMar>
            <w:hideMark/>
          </w:tcPr>
          <w:p w14:paraId="4B98B259"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921" w:type="pct"/>
            <w:shd w:val="clear" w:color="auto" w:fill="FFFFFF"/>
            <w:tcMar>
              <w:top w:w="0" w:type="dxa"/>
              <w:left w:w="70" w:type="dxa"/>
              <w:bottom w:w="0" w:type="dxa"/>
              <w:right w:w="70" w:type="dxa"/>
            </w:tcMar>
            <w:hideMark/>
          </w:tcPr>
          <w:p w14:paraId="3BFEEB4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415" w:type="pct"/>
            <w:shd w:val="clear" w:color="auto" w:fill="FFFFFF"/>
            <w:tcMar>
              <w:top w:w="0" w:type="dxa"/>
              <w:left w:w="70" w:type="dxa"/>
              <w:bottom w:w="0" w:type="dxa"/>
              <w:right w:w="70" w:type="dxa"/>
            </w:tcMar>
            <w:hideMark/>
          </w:tcPr>
          <w:p w14:paraId="3D93FE2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343" w:type="pct"/>
            <w:shd w:val="clear" w:color="auto" w:fill="FFFFFF"/>
            <w:tcMar>
              <w:top w:w="0" w:type="dxa"/>
              <w:left w:w="70" w:type="dxa"/>
              <w:bottom w:w="0" w:type="dxa"/>
              <w:right w:w="70" w:type="dxa"/>
            </w:tcMar>
            <w:hideMark/>
          </w:tcPr>
          <w:p w14:paraId="718AA47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r>
      <w:tr w:rsidR="004E419F" w:rsidRPr="005A7591" w14:paraId="10192C09" w14:textId="77777777" w:rsidTr="004E419F">
        <w:trPr>
          <w:trHeight w:val="20"/>
        </w:trPr>
        <w:tc>
          <w:tcPr>
            <w:tcW w:w="2362" w:type="pct"/>
            <w:shd w:val="clear" w:color="auto" w:fill="FFFFFF"/>
            <w:tcMar>
              <w:top w:w="0" w:type="dxa"/>
              <w:left w:w="70" w:type="dxa"/>
              <w:bottom w:w="0" w:type="dxa"/>
              <w:right w:w="70" w:type="dxa"/>
            </w:tcMar>
            <w:vAlign w:val="center"/>
            <w:hideMark/>
          </w:tcPr>
          <w:p w14:paraId="07EBF0C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Jeux gagnés</w:t>
            </w:r>
          </w:p>
        </w:tc>
        <w:tc>
          <w:tcPr>
            <w:tcW w:w="959" w:type="pct"/>
            <w:shd w:val="clear" w:color="auto" w:fill="FFFFFF"/>
            <w:tcMar>
              <w:top w:w="0" w:type="dxa"/>
              <w:left w:w="70" w:type="dxa"/>
              <w:bottom w:w="0" w:type="dxa"/>
              <w:right w:w="70" w:type="dxa"/>
            </w:tcMar>
            <w:vAlign w:val="center"/>
            <w:hideMark/>
          </w:tcPr>
          <w:p w14:paraId="017FD67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 24 (1. 13)</w:t>
            </w:r>
          </w:p>
        </w:tc>
        <w:tc>
          <w:tcPr>
            <w:tcW w:w="921" w:type="pct"/>
            <w:shd w:val="clear" w:color="auto" w:fill="FFFFFF"/>
            <w:tcMar>
              <w:top w:w="0" w:type="dxa"/>
              <w:left w:w="70" w:type="dxa"/>
              <w:bottom w:w="0" w:type="dxa"/>
              <w:right w:w="70" w:type="dxa"/>
            </w:tcMar>
            <w:vAlign w:val="center"/>
            <w:hideMark/>
          </w:tcPr>
          <w:p w14:paraId="205419A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 16 (0. 9 0)</w:t>
            </w:r>
          </w:p>
        </w:tc>
        <w:tc>
          <w:tcPr>
            <w:tcW w:w="415" w:type="pct"/>
            <w:shd w:val="clear" w:color="auto" w:fill="FFFFFF"/>
            <w:tcMar>
              <w:top w:w="0" w:type="dxa"/>
              <w:left w:w="70" w:type="dxa"/>
              <w:bottom w:w="0" w:type="dxa"/>
              <w:right w:w="70" w:type="dxa"/>
            </w:tcMar>
            <w:vAlign w:val="center"/>
            <w:hideMark/>
          </w:tcPr>
          <w:p w14:paraId="5568136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0.110</w:t>
            </w:r>
          </w:p>
        </w:tc>
        <w:tc>
          <w:tcPr>
            <w:tcW w:w="343" w:type="pct"/>
            <w:shd w:val="clear" w:color="auto" w:fill="FFFFFF"/>
            <w:tcMar>
              <w:top w:w="0" w:type="dxa"/>
              <w:left w:w="70" w:type="dxa"/>
              <w:bottom w:w="0" w:type="dxa"/>
              <w:right w:w="70" w:type="dxa"/>
            </w:tcMar>
            <w:vAlign w:val="center"/>
            <w:hideMark/>
          </w:tcPr>
          <w:p w14:paraId="14BC1FB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.741</w:t>
            </w:r>
          </w:p>
        </w:tc>
      </w:tr>
      <w:tr w:rsidR="004E419F" w:rsidRPr="005A7591" w14:paraId="199390F5" w14:textId="77777777" w:rsidTr="004E419F">
        <w:trPr>
          <w:trHeight w:val="20"/>
        </w:trPr>
        <w:tc>
          <w:tcPr>
            <w:tcW w:w="2362" w:type="pct"/>
            <w:shd w:val="clear" w:color="auto" w:fill="FFFFFF"/>
            <w:tcMar>
              <w:top w:w="0" w:type="dxa"/>
              <w:left w:w="70" w:type="dxa"/>
              <w:bottom w:w="0" w:type="dxa"/>
              <w:right w:w="70" w:type="dxa"/>
            </w:tcMar>
            <w:vAlign w:val="center"/>
            <w:hideMark/>
          </w:tcPr>
          <w:p w14:paraId="30BB2179"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gagnés par match</w:t>
            </w:r>
          </w:p>
        </w:tc>
        <w:tc>
          <w:tcPr>
            <w:tcW w:w="959" w:type="pct"/>
            <w:shd w:val="clear" w:color="auto" w:fill="FFFFFF"/>
            <w:tcMar>
              <w:top w:w="0" w:type="dxa"/>
              <w:left w:w="70" w:type="dxa"/>
              <w:bottom w:w="0" w:type="dxa"/>
              <w:right w:w="70" w:type="dxa"/>
            </w:tcMar>
            <w:vAlign w:val="center"/>
            <w:hideMark/>
          </w:tcPr>
          <w:p w14:paraId="15FFEE6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6. 44 (4. 15)</w:t>
            </w:r>
          </w:p>
        </w:tc>
        <w:tc>
          <w:tcPr>
            <w:tcW w:w="921" w:type="pct"/>
            <w:shd w:val="clear" w:color="auto" w:fill="FFFFFF"/>
            <w:tcMar>
              <w:top w:w="0" w:type="dxa"/>
              <w:left w:w="70" w:type="dxa"/>
              <w:bottom w:w="0" w:type="dxa"/>
              <w:right w:w="70" w:type="dxa"/>
            </w:tcMar>
            <w:vAlign w:val="center"/>
            <w:hideMark/>
          </w:tcPr>
          <w:p w14:paraId="1668EDC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5. 09 (3. 03)</w:t>
            </w:r>
          </w:p>
        </w:tc>
        <w:tc>
          <w:tcPr>
            <w:tcW w:w="415" w:type="pct"/>
            <w:shd w:val="clear" w:color="auto" w:fill="FFFFFF"/>
            <w:tcMar>
              <w:top w:w="0" w:type="dxa"/>
              <w:left w:w="70" w:type="dxa"/>
              <w:bottom w:w="0" w:type="dxa"/>
              <w:right w:w="70" w:type="dxa"/>
            </w:tcMar>
            <w:vAlign w:val="center"/>
            <w:hideMark/>
          </w:tcPr>
          <w:p w14:paraId="5276023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3,135</w:t>
            </w:r>
          </w:p>
        </w:tc>
        <w:tc>
          <w:tcPr>
            <w:tcW w:w="343" w:type="pct"/>
            <w:shd w:val="clear" w:color="auto" w:fill="FFFFFF"/>
            <w:tcMar>
              <w:top w:w="0" w:type="dxa"/>
              <w:left w:w="70" w:type="dxa"/>
              <w:bottom w:w="0" w:type="dxa"/>
              <w:right w:w="70" w:type="dxa"/>
            </w:tcMar>
            <w:vAlign w:val="center"/>
            <w:hideMark/>
          </w:tcPr>
          <w:p w14:paraId="1440EB6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.080</w:t>
            </w:r>
          </w:p>
        </w:tc>
      </w:tr>
      <w:tr w:rsidR="004E419F" w:rsidRPr="005A7591" w14:paraId="2008A6A8" w14:textId="77777777" w:rsidTr="004E419F">
        <w:trPr>
          <w:trHeight w:val="20"/>
        </w:trPr>
        <w:tc>
          <w:tcPr>
            <w:tcW w:w="2362" w:type="pct"/>
            <w:shd w:val="clear" w:color="auto" w:fill="FFFFFF"/>
            <w:tcMar>
              <w:top w:w="0" w:type="dxa"/>
              <w:left w:w="70" w:type="dxa"/>
              <w:bottom w:w="0" w:type="dxa"/>
              <w:right w:w="70" w:type="dxa"/>
            </w:tcMar>
            <w:vAlign w:val="center"/>
            <w:hideMark/>
          </w:tcPr>
          <w:p w14:paraId="4D2CC5D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gagnés par set (%)</w:t>
            </w:r>
          </w:p>
        </w:tc>
        <w:tc>
          <w:tcPr>
            <w:tcW w:w="959" w:type="pct"/>
            <w:shd w:val="clear" w:color="auto" w:fill="FFFFFF"/>
            <w:tcMar>
              <w:top w:w="0" w:type="dxa"/>
              <w:left w:w="70" w:type="dxa"/>
              <w:bottom w:w="0" w:type="dxa"/>
              <w:right w:w="70" w:type="dxa"/>
            </w:tcMar>
            <w:vAlign w:val="center"/>
            <w:hideMark/>
          </w:tcPr>
          <w:p w14:paraId="49AFBEB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11. 69 (9. 99)</w:t>
            </w:r>
          </w:p>
        </w:tc>
        <w:tc>
          <w:tcPr>
            <w:tcW w:w="921" w:type="pct"/>
            <w:shd w:val="clear" w:color="auto" w:fill="FFFFFF"/>
            <w:tcMar>
              <w:top w:w="0" w:type="dxa"/>
              <w:left w:w="70" w:type="dxa"/>
              <w:bottom w:w="0" w:type="dxa"/>
              <w:right w:w="70" w:type="dxa"/>
            </w:tcMar>
            <w:vAlign w:val="center"/>
            <w:hideMark/>
          </w:tcPr>
          <w:p w14:paraId="7633A5D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17. 22 (13. 04)</w:t>
            </w:r>
          </w:p>
        </w:tc>
        <w:tc>
          <w:tcPr>
            <w:tcW w:w="415" w:type="pct"/>
            <w:shd w:val="clear" w:color="auto" w:fill="FFFFFF"/>
            <w:tcMar>
              <w:top w:w="0" w:type="dxa"/>
              <w:left w:w="70" w:type="dxa"/>
              <w:bottom w:w="0" w:type="dxa"/>
              <w:right w:w="70" w:type="dxa"/>
            </w:tcMar>
            <w:vAlign w:val="center"/>
            <w:hideMark/>
          </w:tcPr>
          <w:p w14:paraId="366D96D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4,487</w:t>
            </w:r>
          </w:p>
        </w:tc>
        <w:tc>
          <w:tcPr>
            <w:tcW w:w="343" w:type="pct"/>
            <w:shd w:val="clear" w:color="auto" w:fill="FFFFFF"/>
            <w:tcMar>
              <w:top w:w="0" w:type="dxa"/>
              <w:left w:w="70" w:type="dxa"/>
              <w:bottom w:w="0" w:type="dxa"/>
              <w:right w:w="70" w:type="dxa"/>
            </w:tcMar>
            <w:vAlign w:val="center"/>
            <w:hideMark/>
          </w:tcPr>
          <w:p w14:paraId="253FEA3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.037</w:t>
            </w:r>
          </w:p>
        </w:tc>
      </w:tr>
      <w:tr w:rsidR="004E419F" w:rsidRPr="005A7591" w14:paraId="6A7BEA64" w14:textId="77777777" w:rsidTr="004E419F">
        <w:trPr>
          <w:trHeight w:val="20"/>
        </w:trPr>
        <w:tc>
          <w:tcPr>
            <w:tcW w:w="2362" w:type="pct"/>
            <w:shd w:val="clear" w:color="auto" w:fill="FFFFFF"/>
            <w:tcMar>
              <w:top w:w="0" w:type="dxa"/>
              <w:left w:w="70" w:type="dxa"/>
              <w:bottom w:w="0" w:type="dxa"/>
              <w:right w:w="70" w:type="dxa"/>
            </w:tcMar>
            <w:vAlign w:val="center"/>
            <w:hideMark/>
          </w:tcPr>
          <w:p w14:paraId="06EE45B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color w:val="000000"/>
                <w:sz w:val="16"/>
                <w:szCs w:val="16"/>
                <w:lang w:val="fr-FR"/>
              </w:rPr>
              <w:t>Variables de performance au service</w:t>
            </w:r>
          </w:p>
        </w:tc>
        <w:tc>
          <w:tcPr>
            <w:tcW w:w="959" w:type="pct"/>
            <w:shd w:val="clear" w:color="auto" w:fill="FFFFFF"/>
            <w:tcMar>
              <w:top w:w="0" w:type="dxa"/>
              <w:left w:w="70" w:type="dxa"/>
              <w:bottom w:w="0" w:type="dxa"/>
              <w:right w:w="70" w:type="dxa"/>
            </w:tcMar>
            <w:vAlign w:val="center"/>
            <w:hideMark/>
          </w:tcPr>
          <w:p w14:paraId="7DF61AC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921" w:type="pct"/>
            <w:shd w:val="clear" w:color="auto" w:fill="FFFFFF"/>
            <w:tcMar>
              <w:top w:w="0" w:type="dxa"/>
              <w:left w:w="70" w:type="dxa"/>
              <w:bottom w:w="0" w:type="dxa"/>
              <w:right w:w="70" w:type="dxa"/>
            </w:tcMar>
            <w:vAlign w:val="center"/>
            <w:hideMark/>
          </w:tcPr>
          <w:p w14:paraId="656F450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415" w:type="pct"/>
            <w:shd w:val="clear" w:color="auto" w:fill="FFFFFF"/>
            <w:tcMar>
              <w:top w:w="0" w:type="dxa"/>
              <w:left w:w="70" w:type="dxa"/>
              <w:bottom w:w="0" w:type="dxa"/>
              <w:right w:w="70" w:type="dxa"/>
            </w:tcMar>
            <w:vAlign w:val="center"/>
            <w:hideMark/>
          </w:tcPr>
          <w:p w14:paraId="78B8D31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343" w:type="pct"/>
            <w:shd w:val="clear" w:color="auto" w:fill="FFFFFF"/>
            <w:tcMar>
              <w:top w:w="0" w:type="dxa"/>
              <w:left w:w="70" w:type="dxa"/>
              <w:bottom w:w="0" w:type="dxa"/>
              <w:right w:w="70" w:type="dxa"/>
            </w:tcMar>
            <w:vAlign w:val="center"/>
            <w:hideMark/>
          </w:tcPr>
          <w:p w14:paraId="6586411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r>
      <w:tr w:rsidR="004E419F" w:rsidRPr="005A7591" w14:paraId="6FAE5078" w14:textId="77777777" w:rsidTr="004E419F">
        <w:trPr>
          <w:trHeight w:val="20"/>
        </w:trPr>
        <w:tc>
          <w:tcPr>
            <w:tcW w:w="2362" w:type="pct"/>
            <w:shd w:val="clear" w:color="auto" w:fill="FFFFFF"/>
            <w:tcMar>
              <w:top w:w="0" w:type="dxa"/>
              <w:left w:w="70" w:type="dxa"/>
              <w:bottom w:w="0" w:type="dxa"/>
              <w:right w:w="70" w:type="dxa"/>
            </w:tcMar>
            <w:vAlign w:val="center"/>
            <w:hideMark/>
          </w:tcPr>
          <w:p w14:paraId="2EDBF2C5"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Aces</w:t>
            </w:r>
          </w:p>
        </w:tc>
        <w:tc>
          <w:tcPr>
            <w:tcW w:w="959" w:type="pct"/>
            <w:shd w:val="clear" w:color="auto" w:fill="FFFFFF"/>
            <w:tcMar>
              <w:top w:w="0" w:type="dxa"/>
              <w:left w:w="70" w:type="dxa"/>
              <w:bottom w:w="0" w:type="dxa"/>
              <w:right w:w="70" w:type="dxa"/>
            </w:tcMar>
            <w:vAlign w:val="center"/>
            <w:hideMark/>
          </w:tcPr>
          <w:p w14:paraId="46FD2D6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 5 (3. 05)</w:t>
            </w:r>
          </w:p>
        </w:tc>
        <w:tc>
          <w:tcPr>
            <w:tcW w:w="921" w:type="pct"/>
            <w:shd w:val="clear" w:color="auto" w:fill="FFFFFF"/>
            <w:tcMar>
              <w:top w:w="0" w:type="dxa"/>
              <w:left w:w="70" w:type="dxa"/>
              <w:bottom w:w="0" w:type="dxa"/>
              <w:right w:w="70" w:type="dxa"/>
            </w:tcMar>
            <w:vAlign w:val="center"/>
            <w:hideMark/>
          </w:tcPr>
          <w:p w14:paraId="79C2DCD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 15 (1. 86)</w:t>
            </w:r>
          </w:p>
        </w:tc>
        <w:tc>
          <w:tcPr>
            <w:tcW w:w="415" w:type="pct"/>
            <w:shd w:val="clear" w:color="auto" w:fill="FFFFFF"/>
            <w:tcMar>
              <w:top w:w="0" w:type="dxa"/>
              <w:left w:w="70" w:type="dxa"/>
              <w:bottom w:w="0" w:type="dxa"/>
              <w:right w:w="70" w:type="dxa"/>
            </w:tcMar>
            <w:vAlign w:val="center"/>
            <w:hideMark/>
          </w:tcPr>
          <w:p w14:paraId="439E446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1,544</w:t>
            </w:r>
          </w:p>
        </w:tc>
        <w:tc>
          <w:tcPr>
            <w:tcW w:w="343" w:type="pct"/>
            <w:shd w:val="clear" w:color="auto" w:fill="FFFFFF"/>
            <w:tcMar>
              <w:top w:w="0" w:type="dxa"/>
              <w:left w:w="70" w:type="dxa"/>
              <w:bottom w:w="0" w:type="dxa"/>
              <w:right w:w="70" w:type="dxa"/>
            </w:tcMar>
            <w:vAlign w:val="center"/>
            <w:hideMark/>
          </w:tcPr>
          <w:p w14:paraId="29B3BEE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.217</w:t>
            </w:r>
          </w:p>
        </w:tc>
      </w:tr>
      <w:tr w:rsidR="004E419F" w:rsidRPr="005A7591" w14:paraId="61A09A7C" w14:textId="77777777" w:rsidTr="004E419F">
        <w:trPr>
          <w:trHeight w:val="20"/>
        </w:trPr>
        <w:tc>
          <w:tcPr>
            <w:tcW w:w="2362" w:type="pct"/>
            <w:shd w:val="clear" w:color="auto" w:fill="FFFFFF"/>
            <w:tcMar>
              <w:top w:w="0" w:type="dxa"/>
              <w:left w:w="70" w:type="dxa"/>
              <w:bottom w:w="0" w:type="dxa"/>
              <w:right w:w="70" w:type="dxa"/>
            </w:tcMar>
            <w:vAlign w:val="center"/>
            <w:hideMark/>
          </w:tcPr>
          <w:p w14:paraId="0D51F52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Double fautes</w:t>
            </w:r>
          </w:p>
        </w:tc>
        <w:tc>
          <w:tcPr>
            <w:tcW w:w="959" w:type="pct"/>
            <w:shd w:val="clear" w:color="auto" w:fill="FFFFFF"/>
            <w:tcMar>
              <w:top w:w="0" w:type="dxa"/>
              <w:left w:w="70" w:type="dxa"/>
              <w:bottom w:w="0" w:type="dxa"/>
              <w:right w:w="70" w:type="dxa"/>
            </w:tcMar>
            <w:vAlign w:val="center"/>
            <w:hideMark/>
          </w:tcPr>
          <w:p w14:paraId="1C3749EA"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 24 (1. 33)</w:t>
            </w:r>
          </w:p>
        </w:tc>
        <w:tc>
          <w:tcPr>
            <w:tcW w:w="921" w:type="pct"/>
            <w:shd w:val="clear" w:color="auto" w:fill="FFFFFF"/>
            <w:tcMar>
              <w:top w:w="0" w:type="dxa"/>
              <w:left w:w="70" w:type="dxa"/>
              <w:bottom w:w="0" w:type="dxa"/>
              <w:right w:w="70" w:type="dxa"/>
            </w:tcMar>
            <w:vAlign w:val="center"/>
            <w:hideMark/>
          </w:tcPr>
          <w:p w14:paraId="101B60F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 16 (1.00)</w:t>
            </w:r>
          </w:p>
        </w:tc>
        <w:tc>
          <w:tcPr>
            <w:tcW w:w="415" w:type="pct"/>
            <w:shd w:val="clear" w:color="auto" w:fill="FFFFFF"/>
            <w:tcMar>
              <w:top w:w="0" w:type="dxa"/>
              <w:left w:w="70" w:type="dxa"/>
              <w:bottom w:w="0" w:type="dxa"/>
              <w:right w:w="70" w:type="dxa"/>
            </w:tcMar>
            <w:vAlign w:val="center"/>
            <w:hideMark/>
          </w:tcPr>
          <w:p w14:paraId="0562A33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0.084</w:t>
            </w:r>
          </w:p>
        </w:tc>
        <w:tc>
          <w:tcPr>
            <w:tcW w:w="343" w:type="pct"/>
            <w:shd w:val="clear" w:color="auto" w:fill="FFFFFF"/>
            <w:tcMar>
              <w:top w:w="0" w:type="dxa"/>
              <w:left w:w="70" w:type="dxa"/>
              <w:bottom w:w="0" w:type="dxa"/>
              <w:right w:w="70" w:type="dxa"/>
            </w:tcMar>
            <w:vAlign w:val="center"/>
            <w:hideMark/>
          </w:tcPr>
          <w:p w14:paraId="341D430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.773</w:t>
            </w:r>
          </w:p>
        </w:tc>
      </w:tr>
      <w:tr w:rsidR="004E419F" w:rsidRPr="005A7591" w14:paraId="7823D706" w14:textId="77777777" w:rsidTr="004E419F">
        <w:trPr>
          <w:trHeight w:val="20"/>
        </w:trPr>
        <w:tc>
          <w:tcPr>
            <w:tcW w:w="2362" w:type="pct"/>
            <w:shd w:val="clear" w:color="auto" w:fill="FFFFFF"/>
            <w:tcMar>
              <w:top w:w="0" w:type="dxa"/>
              <w:left w:w="70" w:type="dxa"/>
              <w:bottom w:w="0" w:type="dxa"/>
              <w:right w:w="70" w:type="dxa"/>
            </w:tcMar>
            <w:vAlign w:val="center"/>
            <w:hideMark/>
          </w:tcPr>
          <w:p w14:paraId="6953836D"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Ratio Aces : double fautes </w:t>
            </w:r>
          </w:p>
        </w:tc>
        <w:tc>
          <w:tcPr>
            <w:tcW w:w="959" w:type="pct"/>
            <w:shd w:val="clear" w:color="auto" w:fill="FFFFFF"/>
            <w:tcMar>
              <w:top w:w="0" w:type="dxa"/>
              <w:left w:w="70" w:type="dxa"/>
              <w:bottom w:w="0" w:type="dxa"/>
              <w:right w:w="70" w:type="dxa"/>
            </w:tcMar>
            <w:vAlign w:val="center"/>
            <w:hideMark/>
          </w:tcPr>
          <w:p w14:paraId="43E5DA8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 74 (3. 44)</w:t>
            </w:r>
          </w:p>
        </w:tc>
        <w:tc>
          <w:tcPr>
            <w:tcW w:w="921" w:type="pct"/>
            <w:shd w:val="clear" w:color="auto" w:fill="FFFFFF"/>
            <w:tcMar>
              <w:top w:w="0" w:type="dxa"/>
              <w:left w:w="70" w:type="dxa"/>
              <w:bottom w:w="0" w:type="dxa"/>
              <w:right w:w="70" w:type="dxa"/>
            </w:tcMar>
            <w:vAlign w:val="center"/>
            <w:hideMark/>
          </w:tcPr>
          <w:p w14:paraId="63FCE5B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 02 (2. 04)</w:t>
            </w:r>
          </w:p>
        </w:tc>
        <w:tc>
          <w:tcPr>
            <w:tcW w:w="415" w:type="pct"/>
            <w:shd w:val="clear" w:color="auto" w:fill="FFFFFF"/>
            <w:tcMar>
              <w:top w:w="0" w:type="dxa"/>
              <w:left w:w="70" w:type="dxa"/>
              <w:bottom w:w="0" w:type="dxa"/>
              <w:right w:w="70" w:type="dxa"/>
            </w:tcMar>
            <w:vAlign w:val="center"/>
            <w:hideMark/>
          </w:tcPr>
          <w:p w14:paraId="7804E58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1,527</w:t>
            </w:r>
          </w:p>
        </w:tc>
        <w:tc>
          <w:tcPr>
            <w:tcW w:w="343" w:type="pct"/>
            <w:shd w:val="clear" w:color="auto" w:fill="FFFFFF"/>
            <w:tcMar>
              <w:top w:w="0" w:type="dxa"/>
              <w:left w:w="70" w:type="dxa"/>
              <w:bottom w:w="0" w:type="dxa"/>
              <w:right w:w="70" w:type="dxa"/>
            </w:tcMar>
            <w:vAlign w:val="center"/>
            <w:hideMark/>
          </w:tcPr>
          <w:p w14:paraId="6EE5922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.220</w:t>
            </w:r>
          </w:p>
        </w:tc>
      </w:tr>
      <w:tr w:rsidR="004E419F" w:rsidRPr="005A7591" w14:paraId="0C892692" w14:textId="77777777" w:rsidTr="004E419F">
        <w:trPr>
          <w:trHeight w:val="20"/>
        </w:trPr>
        <w:tc>
          <w:tcPr>
            <w:tcW w:w="2362" w:type="pct"/>
            <w:shd w:val="clear" w:color="auto" w:fill="FFFFFF"/>
            <w:tcMar>
              <w:top w:w="0" w:type="dxa"/>
              <w:left w:w="70" w:type="dxa"/>
              <w:bottom w:w="0" w:type="dxa"/>
              <w:right w:w="70" w:type="dxa"/>
            </w:tcMar>
            <w:vAlign w:val="center"/>
            <w:hideMark/>
          </w:tcPr>
          <w:p w14:paraId="11FCF5B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w:t>
            </w:r>
            <w:r w:rsidRPr="005A7591">
              <w:rPr>
                <w:rFonts w:ascii="Lato-Regular" w:hAnsi="Lato-Regular"/>
                <w:color w:val="000000"/>
                <w:sz w:val="16"/>
                <w:szCs w:val="16"/>
                <w:vertAlign w:val="superscript"/>
                <w:lang w:val="fr-FR"/>
              </w:rPr>
              <w:t>er</w:t>
            </w:r>
            <w:r w:rsidRPr="005A7591">
              <w:rPr>
                <w:rFonts w:ascii="Lato-Regular" w:hAnsi="Lato-Regular"/>
                <w:color w:val="000000"/>
                <w:sz w:val="16"/>
                <w:szCs w:val="16"/>
                <w:lang w:val="fr-FR"/>
              </w:rPr>
              <w:t xml:space="preserve"> service (%)</w:t>
            </w:r>
          </w:p>
        </w:tc>
        <w:tc>
          <w:tcPr>
            <w:tcW w:w="959" w:type="pct"/>
            <w:shd w:val="clear" w:color="auto" w:fill="FFFFFF"/>
            <w:tcMar>
              <w:top w:w="0" w:type="dxa"/>
              <w:left w:w="70" w:type="dxa"/>
              <w:bottom w:w="0" w:type="dxa"/>
              <w:right w:w="70" w:type="dxa"/>
            </w:tcMar>
            <w:vAlign w:val="center"/>
            <w:hideMark/>
          </w:tcPr>
          <w:p w14:paraId="306A7286"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 13(12. 84)</w:t>
            </w:r>
          </w:p>
        </w:tc>
        <w:tc>
          <w:tcPr>
            <w:tcW w:w="921" w:type="pct"/>
            <w:shd w:val="clear" w:color="auto" w:fill="FFFFFF"/>
            <w:tcMar>
              <w:top w:w="0" w:type="dxa"/>
              <w:left w:w="70" w:type="dxa"/>
              <w:bottom w:w="0" w:type="dxa"/>
              <w:right w:w="70" w:type="dxa"/>
            </w:tcMar>
            <w:vAlign w:val="center"/>
            <w:hideMark/>
          </w:tcPr>
          <w:p w14:paraId="7EB855B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 47(19. 13)</w:t>
            </w:r>
          </w:p>
        </w:tc>
        <w:tc>
          <w:tcPr>
            <w:tcW w:w="415" w:type="pct"/>
            <w:shd w:val="clear" w:color="auto" w:fill="FFFFFF"/>
            <w:tcMar>
              <w:top w:w="0" w:type="dxa"/>
              <w:left w:w="70" w:type="dxa"/>
              <w:bottom w:w="0" w:type="dxa"/>
              <w:right w:w="70" w:type="dxa"/>
            </w:tcMar>
            <w:vAlign w:val="center"/>
            <w:hideMark/>
          </w:tcPr>
          <w:p w14:paraId="00BE5CC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0.008</w:t>
            </w:r>
          </w:p>
        </w:tc>
        <w:tc>
          <w:tcPr>
            <w:tcW w:w="343" w:type="pct"/>
            <w:shd w:val="clear" w:color="auto" w:fill="FFFFFF"/>
            <w:tcMar>
              <w:top w:w="0" w:type="dxa"/>
              <w:left w:w="70" w:type="dxa"/>
              <w:bottom w:w="0" w:type="dxa"/>
              <w:right w:w="70" w:type="dxa"/>
            </w:tcMar>
            <w:vAlign w:val="center"/>
            <w:hideMark/>
          </w:tcPr>
          <w:p w14:paraId="21F9F06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.928</w:t>
            </w:r>
          </w:p>
        </w:tc>
      </w:tr>
      <w:tr w:rsidR="004E419F" w:rsidRPr="005A7591" w14:paraId="56C3C320" w14:textId="77777777" w:rsidTr="004E419F">
        <w:trPr>
          <w:trHeight w:val="20"/>
        </w:trPr>
        <w:tc>
          <w:tcPr>
            <w:tcW w:w="2362" w:type="pct"/>
            <w:shd w:val="clear" w:color="auto" w:fill="FFFFFF"/>
            <w:tcMar>
              <w:top w:w="0" w:type="dxa"/>
              <w:left w:w="70" w:type="dxa"/>
              <w:bottom w:w="0" w:type="dxa"/>
              <w:right w:w="70" w:type="dxa"/>
            </w:tcMar>
            <w:vAlign w:val="center"/>
            <w:hideMark/>
          </w:tcPr>
          <w:p w14:paraId="04996B06"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gagnés 1</w:t>
            </w:r>
            <w:r w:rsidRPr="005A7591">
              <w:rPr>
                <w:rFonts w:ascii="Lato-Regular" w:hAnsi="Lato-Regular"/>
                <w:color w:val="000000"/>
                <w:sz w:val="16"/>
                <w:szCs w:val="16"/>
                <w:vertAlign w:val="superscript"/>
                <w:lang w:val="fr-FR"/>
              </w:rPr>
              <w:t>er</w:t>
            </w:r>
            <w:r w:rsidRPr="005A7591">
              <w:rPr>
                <w:rFonts w:ascii="Lato-Regular" w:hAnsi="Lato-Regular"/>
                <w:color w:val="000000"/>
                <w:sz w:val="16"/>
                <w:szCs w:val="16"/>
                <w:lang w:val="fr-FR"/>
              </w:rPr>
              <w:t xml:space="preserve"> service (%)</w:t>
            </w:r>
          </w:p>
        </w:tc>
        <w:tc>
          <w:tcPr>
            <w:tcW w:w="959" w:type="pct"/>
            <w:shd w:val="clear" w:color="auto" w:fill="FFFFFF"/>
            <w:tcMar>
              <w:top w:w="0" w:type="dxa"/>
              <w:left w:w="70" w:type="dxa"/>
              <w:bottom w:w="0" w:type="dxa"/>
              <w:right w:w="70" w:type="dxa"/>
            </w:tcMar>
            <w:vAlign w:val="center"/>
            <w:hideMark/>
          </w:tcPr>
          <w:p w14:paraId="0CAB74F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11. 09 (14. 1 0)</w:t>
            </w:r>
          </w:p>
        </w:tc>
        <w:tc>
          <w:tcPr>
            <w:tcW w:w="921" w:type="pct"/>
            <w:shd w:val="clear" w:color="auto" w:fill="FFFFFF"/>
            <w:tcMar>
              <w:top w:w="0" w:type="dxa"/>
              <w:left w:w="70" w:type="dxa"/>
              <w:bottom w:w="0" w:type="dxa"/>
              <w:right w:w="70" w:type="dxa"/>
            </w:tcMar>
            <w:vAlign w:val="center"/>
            <w:hideMark/>
          </w:tcPr>
          <w:p w14:paraId="28B24D1B"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17. 41 (19. 53)</w:t>
            </w:r>
          </w:p>
        </w:tc>
        <w:tc>
          <w:tcPr>
            <w:tcW w:w="415" w:type="pct"/>
            <w:shd w:val="clear" w:color="auto" w:fill="FFFFFF"/>
            <w:tcMar>
              <w:top w:w="0" w:type="dxa"/>
              <w:left w:w="70" w:type="dxa"/>
              <w:bottom w:w="0" w:type="dxa"/>
              <w:right w:w="70" w:type="dxa"/>
            </w:tcMar>
            <w:vAlign w:val="center"/>
            <w:hideMark/>
          </w:tcPr>
          <w:p w14:paraId="5B44D73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2,691</w:t>
            </w:r>
          </w:p>
        </w:tc>
        <w:tc>
          <w:tcPr>
            <w:tcW w:w="343" w:type="pct"/>
            <w:shd w:val="clear" w:color="auto" w:fill="FFFFFF"/>
            <w:tcMar>
              <w:top w:w="0" w:type="dxa"/>
              <w:left w:w="70" w:type="dxa"/>
              <w:bottom w:w="0" w:type="dxa"/>
              <w:right w:w="70" w:type="dxa"/>
            </w:tcMar>
            <w:vAlign w:val="center"/>
            <w:hideMark/>
          </w:tcPr>
          <w:p w14:paraId="7B0054D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.105</w:t>
            </w:r>
          </w:p>
        </w:tc>
      </w:tr>
      <w:tr w:rsidR="004E419F" w:rsidRPr="005A7591" w14:paraId="48286FD4" w14:textId="77777777" w:rsidTr="004E419F">
        <w:trPr>
          <w:trHeight w:val="20"/>
        </w:trPr>
        <w:tc>
          <w:tcPr>
            <w:tcW w:w="2362" w:type="pct"/>
            <w:shd w:val="clear" w:color="auto" w:fill="FFFFFF"/>
            <w:tcMar>
              <w:top w:w="0" w:type="dxa"/>
              <w:left w:w="70" w:type="dxa"/>
              <w:bottom w:w="0" w:type="dxa"/>
              <w:right w:w="70" w:type="dxa"/>
            </w:tcMar>
            <w:vAlign w:val="center"/>
            <w:hideMark/>
          </w:tcPr>
          <w:p w14:paraId="2F2188C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gagnés 2</w:t>
            </w:r>
            <w:r w:rsidRPr="005A7591">
              <w:rPr>
                <w:rFonts w:ascii="Lato-Regular" w:hAnsi="Lato-Regular"/>
                <w:color w:val="000000"/>
                <w:sz w:val="16"/>
                <w:szCs w:val="16"/>
                <w:vertAlign w:val="superscript"/>
                <w:lang w:val="fr-FR"/>
              </w:rPr>
              <w:t>ème</w:t>
            </w:r>
            <w:r w:rsidRPr="005A7591">
              <w:rPr>
                <w:rFonts w:ascii="Lato-Regular" w:hAnsi="Lato-Regular"/>
                <w:color w:val="000000"/>
                <w:sz w:val="16"/>
                <w:szCs w:val="16"/>
                <w:lang w:val="fr-FR"/>
              </w:rPr>
              <w:t xml:space="preserve"> service (%)</w:t>
            </w:r>
          </w:p>
        </w:tc>
        <w:tc>
          <w:tcPr>
            <w:tcW w:w="959" w:type="pct"/>
            <w:shd w:val="clear" w:color="auto" w:fill="FFFFFF"/>
            <w:tcMar>
              <w:top w:w="0" w:type="dxa"/>
              <w:left w:w="70" w:type="dxa"/>
              <w:bottom w:w="0" w:type="dxa"/>
              <w:right w:w="70" w:type="dxa"/>
            </w:tcMar>
            <w:vAlign w:val="center"/>
            <w:hideMark/>
          </w:tcPr>
          <w:p w14:paraId="34881DB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13. 9 (28. 61)</w:t>
            </w:r>
          </w:p>
        </w:tc>
        <w:tc>
          <w:tcPr>
            <w:tcW w:w="921" w:type="pct"/>
            <w:shd w:val="clear" w:color="auto" w:fill="FFFFFF"/>
            <w:tcMar>
              <w:top w:w="0" w:type="dxa"/>
              <w:left w:w="70" w:type="dxa"/>
              <w:bottom w:w="0" w:type="dxa"/>
              <w:right w:w="70" w:type="dxa"/>
            </w:tcMar>
            <w:vAlign w:val="center"/>
            <w:hideMark/>
          </w:tcPr>
          <w:p w14:paraId="64E7F76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18. 81 (26. 9)</w:t>
            </w:r>
          </w:p>
        </w:tc>
        <w:tc>
          <w:tcPr>
            <w:tcW w:w="415" w:type="pct"/>
            <w:shd w:val="clear" w:color="auto" w:fill="FFFFFF"/>
            <w:tcMar>
              <w:top w:w="0" w:type="dxa"/>
              <w:left w:w="70" w:type="dxa"/>
              <w:bottom w:w="0" w:type="dxa"/>
              <w:right w:w="70" w:type="dxa"/>
            </w:tcMar>
            <w:vAlign w:val="center"/>
            <w:hideMark/>
          </w:tcPr>
          <w:p w14:paraId="320A032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0.663</w:t>
            </w:r>
          </w:p>
        </w:tc>
        <w:tc>
          <w:tcPr>
            <w:tcW w:w="343" w:type="pct"/>
            <w:shd w:val="clear" w:color="auto" w:fill="FFFFFF"/>
            <w:tcMar>
              <w:top w:w="0" w:type="dxa"/>
              <w:left w:w="70" w:type="dxa"/>
              <w:bottom w:w="0" w:type="dxa"/>
              <w:right w:w="70" w:type="dxa"/>
            </w:tcMar>
            <w:vAlign w:val="center"/>
            <w:hideMark/>
          </w:tcPr>
          <w:p w14:paraId="4528C55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.418</w:t>
            </w:r>
          </w:p>
        </w:tc>
      </w:tr>
      <w:tr w:rsidR="004E419F" w:rsidRPr="005A7591" w14:paraId="14BCB77A" w14:textId="77777777" w:rsidTr="004E419F">
        <w:trPr>
          <w:trHeight w:val="20"/>
        </w:trPr>
        <w:tc>
          <w:tcPr>
            <w:tcW w:w="2362" w:type="pct"/>
            <w:shd w:val="clear" w:color="auto" w:fill="FFFFFF"/>
            <w:tcMar>
              <w:top w:w="0" w:type="dxa"/>
              <w:left w:w="70" w:type="dxa"/>
              <w:bottom w:w="0" w:type="dxa"/>
              <w:right w:w="70" w:type="dxa"/>
            </w:tcMar>
            <w:vAlign w:val="center"/>
            <w:hideMark/>
          </w:tcPr>
          <w:p w14:paraId="5256F93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gagnés au service</w:t>
            </w:r>
          </w:p>
        </w:tc>
        <w:tc>
          <w:tcPr>
            <w:tcW w:w="959" w:type="pct"/>
            <w:shd w:val="clear" w:color="auto" w:fill="FFFFFF"/>
            <w:tcMar>
              <w:top w:w="0" w:type="dxa"/>
              <w:left w:w="70" w:type="dxa"/>
              <w:bottom w:w="0" w:type="dxa"/>
              <w:right w:w="70" w:type="dxa"/>
            </w:tcMar>
            <w:vAlign w:val="center"/>
            <w:hideMark/>
          </w:tcPr>
          <w:p w14:paraId="6DA2E38E"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 21 (4. 16)</w:t>
            </w:r>
          </w:p>
        </w:tc>
        <w:tc>
          <w:tcPr>
            <w:tcW w:w="921" w:type="pct"/>
            <w:shd w:val="clear" w:color="auto" w:fill="FFFFFF"/>
            <w:tcMar>
              <w:top w:w="0" w:type="dxa"/>
              <w:left w:w="70" w:type="dxa"/>
              <w:bottom w:w="0" w:type="dxa"/>
              <w:right w:w="70" w:type="dxa"/>
            </w:tcMar>
            <w:vAlign w:val="center"/>
            <w:hideMark/>
          </w:tcPr>
          <w:p w14:paraId="1D00AA1C"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 35 (2. 09)</w:t>
            </w:r>
          </w:p>
        </w:tc>
        <w:tc>
          <w:tcPr>
            <w:tcW w:w="415" w:type="pct"/>
            <w:shd w:val="clear" w:color="auto" w:fill="FFFFFF"/>
            <w:tcMar>
              <w:top w:w="0" w:type="dxa"/>
              <w:left w:w="70" w:type="dxa"/>
              <w:bottom w:w="0" w:type="dxa"/>
              <w:right w:w="70" w:type="dxa"/>
            </w:tcMar>
            <w:vAlign w:val="center"/>
            <w:hideMark/>
          </w:tcPr>
          <w:p w14:paraId="3D8AC0D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1,675</w:t>
            </w:r>
          </w:p>
        </w:tc>
        <w:tc>
          <w:tcPr>
            <w:tcW w:w="343" w:type="pct"/>
            <w:shd w:val="clear" w:color="auto" w:fill="FFFFFF"/>
            <w:tcMar>
              <w:top w:w="0" w:type="dxa"/>
              <w:left w:w="70" w:type="dxa"/>
              <w:bottom w:w="0" w:type="dxa"/>
              <w:right w:w="70" w:type="dxa"/>
            </w:tcMar>
            <w:vAlign w:val="center"/>
            <w:hideMark/>
          </w:tcPr>
          <w:p w14:paraId="0F14318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.199</w:t>
            </w:r>
          </w:p>
        </w:tc>
      </w:tr>
      <w:tr w:rsidR="004E419F" w:rsidRPr="005A7591" w14:paraId="7C55DFE4" w14:textId="77777777" w:rsidTr="004E419F">
        <w:trPr>
          <w:trHeight w:val="20"/>
        </w:trPr>
        <w:tc>
          <w:tcPr>
            <w:tcW w:w="2362" w:type="pct"/>
            <w:shd w:val="clear" w:color="auto" w:fill="FFFFFF"/>
            <w:tcMar>
              <w:top w:w="0" w:type="dxa"/>
              <w:left w:w="70" w:type="dxa"/>
              <w:bottom w:w="0" w:type="dxa"/>
              <w:right w:w="70" w:type="dxa"/>
            </w:tcMar>
            <w:vAlign w:val="center"/>
            <w:hideMark/>
          </w:tcPr>
          <w:p w14:paraId="26D775F9"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b/>
                <w:bCs/>
                <w:color w:val="000000"/>
                <w:sz w:val="16"/>
                <w:szCs w:val="16"/>
                <w:lang w:val="fr-FR"/>
              </w:rPr>
              <w:t xml:space="preserve">Variables de performance en retour </w:t>
            </w:r>
          </w:p>
        </w:tc>
        <w:tc>
          <w:tcPr>
            <w:tcW w:w="959" w:type="pct"/>
            <w:shd w:val="clear" w:color="auto" w:fill="FFFFFF"/>
            <w:tcMar>
              <w:top w:w="0" w:type="dxa"/>
              <w:left w:w="70" w:type="dxa"/>
              <w:bottom w:w="0" w:type="dxa"/>
              <w:right w:w="70" w:type="dxa"/>
            </w:tcMar>
            <w:vAlign w:val="center"/>
            <w:hideMark/>
          </w:tcPr>
          <w:p w14:paraId="32D5A334"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921" w:type="pct"/>
            <w:shd w:val="clear" w:color="auto" w:fill="FFFFFF"/>
            <w:tcMar>
              <w:top w:w="0" w:type="dxa"/>
              <w:left w:w="70" w:type="dxa"/>
              <w:bottom w:w="0" w:type="dxa"/>
              <w:right w:w="70" w:type="dxa"/>
            </w:tcMar>
            <w:vAlign w:val="center"/>
            <w:hideMark/>
          </w:tcPr>
          <w:p w14:paraId="48E2E24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415" w:type="pct"/>
            <w:shd w:val="clear" w:color="auto" w:fill="FFFFFF"/>
            <w:tcMar>
              <w:top w:w="0" w:type="dxa"/>
              <w:left w:w="70" w:type="dxa"/>
              <w:bottom w:w="0" w:type="dxa"/>
              <w:right w:w="70" w:type="dxa"/>
            </w:tcMar>
            <w:vAlign w:val="center"/>
            <w:hideMark/>
          </w:tcPr>
          <w:p w14:paraId="430E7B5B"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c>
          <w:tcPr>
            <w:tcW w:w="343" w:type="pct"/>
            <w:shd w:val="clear" w:color="auto" w:fill="FFFFFF"/>
            <w:tcMar>
              <w:top w:w="0" w:type="dxa"/>
              <w:left w:w="70" w:type="dxa"/>
              <w:bottom w:w="0" w:type="dxa"/>
              <w:right w:w="70" w:type="dxa"/>
            </w:tcMar>
            <w:vAlign w:val="center"/>
            <w:hideMark/>
          </w:tcPr>
          <w:p w14:paraId="1D9F1E3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 </w:t>
            </w:r>
          </w:p>
        </w:tc>
      </w:tr>
      <w:tr w:rsidR="004E419F" w:rsidRPr="005A7591" w14:paraId="1497D316" w14:textId="77777777" w:rsidTr="004E419F">
        <w:trPr>
          <w:trHeight w:val="20"/>
        </w:trPr>
        <w:tc>
          <w:tcPr>
            <w:tcW w:w="2362" w:type="pct"/>
            <w:shd w:val="clear" w:color="auto" w:fill="FFFFFF"/>
            <w:tcMar>
              <w:top w:w="0" w:type="dxa"/>
              <w:left w:w="70" w:type="dxa"/>
              <w:bottom w:w="0" w:type="dxa"/>
              <w:right w:w="70" w:type="dxa"/>
            </w:tcMar>
            <w:vAlign w:val="center"/>
            <w:hideMark/>
          </w:tcPr>
          <w:p w14:paraId="057B2079"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Balles de break (%)</w:t>
            </w:r>
          </w:p>
        </w:tc>
        <w:tc>
          <w:tcPr>
            <w:tcW w:w="959" w:type="pct"/>
            <w:shd w:val="clear" w:color="auto" w:fill="FFFFFF"/>
            <w:tcMar>
              <w:top w:w="0" w:type="dxa"/>
              <w:left w:w="70" w:type="dxa"/>
              <w:bottom w:w="0" w:type="dxa"/>
              <w:right w:w="70" w:type="dxa"/>
            </w:tcMar>
            <w:vAlign w:val="center"/>
            <w:hideMark/>
          </w:tcPr>
          <w:p w14:paraId="5F99722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35. 88 (46. 38)</w:t>
            </w:r>
          </w:p>
        </w:tc>
        <w:tc>
          <w:tcPr>
            <w:tcW w:w="921" w:type="pct"/>
            <w:shd w:val="clear" w:color="auto" w:fill="FFFFFF"/>
            <w:tcMar>
              <w:top w:w="0" w:type="dxa"/>
              <w:left w:w="70" w:type="dxa"/>
              <w:bottom w:w="0" w:type="dxa"/>
              <w:right w:w="70" w:type="dxa"/>
            </w:tcMar>
            <w:vAlign w:val="center"/>
            <w:hideMark/>
          </w:tcPr>
          <w:p w14:paraId="1CBC7AB0"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50. 48 (44. 48)</w:t>
            </w:r>
          </w:p>
        </w:tc>
        <w:tc>
          <w:tcPr>
            <w:tcW w:w="415" w:type="pct"/>
            <w:shd w:val="clear" w:color="auto" w:fill="FFFFFF"/>
            <w:tcMar>
              <w:top w:w="0" w:type="dxa"/>
              <w:left w:w="70" w:type="dxa"/>
              <w:bottom w:w="0" w:type="dxa"/>
              <w:right w:w="70" w:type="dxa"/>
            </w:tcMar>
            <w:vAlign w:val="center"/>
            <w:hideMark/>
          </w:tcPr>
          <w:p w14:paraId="05BB80D7"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2,192</w:t>
            </w:r>
          </w:p>
        </w:tc>
        <w:tc>
          <w:tcPr>
            <w:tcW w:w="343" w:type="pct"/>
            <w:shd w:val="clear" w:color="auto" w:fill="FFFFFF"/>
            <w:tcMar>
              <w:top w:w="0" w:type="dxa"/>
              <w:left w:w="70" w:type="dxa"/>
              <w:bottom w:w="0" w:type="dxa"/>
              <w:right w:w="70" w:type="dxa"/>
            </w:tcMar>
            <w:vAlign w:val="center"/>
            <w:hideMark/>
          </w:tcPr>
          <w:p w14:paraId="054A75DA"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.142</w:t>
            </w:r>
          </w:p>
        </w:tc>
      </w:tr>
      <w:tr w:rsidR="004E419F" w:rsidRPr="005A7591" w14:paraId="15496D44" w14:textId="77777777" w:rsidTr="004E419F">
        <w:trPr>
          <w:trHeight w:val="20"/>
        </w:trPr>
        <w:tc>
          <w:tcPr>
            <w:tcW w:w="2362" w:type="pct"/>
            <w:shd w:val="clear" w:color="auto" w:fill="FFFFFF"/>
            <w:tcMar>
              <w:top w:w="0" w:type="dxa"/>
              <w:left w:w="70" w:type="dxa"/>
              <w:bottom w:w="0" w:type="dxa"/>
              <w:right w:w="70" w:type="dxa"/>
            </w:tcMar>
            <w:vAlign w:val="center"/>
            <w:hideMark/>
          </w:tcPr>
          <w:p w14:paraId="1F89B0E3"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P. gagnés en retour</w:t>
            </w:r>
          </w:p>
        </w:tc>
        <w:tc>
          <w:tcPr>
            <w:tcW w:w="959" w:type="pct"/>
            <w:shd w:val="clear" w:color="auto" w:fill="FFFFFF"/>
            <w:tcMar>
              <w:top w:w="0" w:type="dxa"/>
              <w:left w:w="70" w:type="dxa"/>
              <w:bottom w:w="0" w:type="dxa"/>
              <w:right w:w="70" w:type="dxa"/>
            </w:tcMar>
            <w:vAlign w:val="center"/>
            <w:hideMark/>
          </w:tcPr>
          <w:p w14:paraId="0053A94B"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3. 24 (5. 57)</w:t>
            </w:r>
          </w:p>
        </w:tc>
        <w:tc>
          <w:tcPr>
            <w:tcW w:w="921" w:type="pct"/>
            <w:shd w:val="clear" w:color="auto" w:fill="FFFFFF"/>
            <w:tcMar>
              <w:top w:w="0" w:type="dxa"/>
              <w:left w:w="70" w:type="dxa"/>
              <w:bottom w:w="0" w:type="dxa"/>
              <w:right w:w="70" w:type="dxa"/>
            </w:tcMar>
            <w:vAlign w:val="center"/>
            <w:hideMark/>
          </w:tcPr>
          <w:p w14:paraId="249257E6"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2. 75 (2. 98)</w:t>
            </w:r>
          </w:p>
        </w:tc>
        <w:tc>
          <w:tcPr>
            <w:tcW w:w="415" w:type="pct"/>
            <w:shd w:val="clear" w:color="auto" w:fill="FFFFFF"/>
            <w:tcMar>
              <w:top w:w="0" w:type="dxa"/>
              <w:left w:w="70" w:type="dxa"/>
              <w:bottom w:w="0" w:type="dxa"/>
              <w:right w:w="70" w:type="dxa"/>
            </w:tcMar>
            <w:vAlign w:val="center"/>
            <w:hideMark/>
          </w:tcPr>
          <w:p w14:paraId="1D42C822"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0.292</w:t>
            </w:r>
          </w:p>
        </w:tc>
        <w:tc>
          <w:tcPr>
            <w:tcW w:w="343" w:type="pct"/>
            <w:shd w:val="clear" w:color="auto" w:fill="FFFFFF"/>
            <w:tcMar>
              <w:top w:w="0" w:type="dxa"/>
              <w:left w:w="70" w:type="dxa"/>
              <w:bottom w:w="0" w:type="dxa"/>
              <w:right w:w="70" w:type="dxa"/>
            </w:tcMar>
            <w:vAlign w:val="center"/>
            <w:hideMark/>
          </w:tcPr>
          <w:p w14:paraId="26047D58"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.591</w:t>
            </w:r>
          </w:p>
        </w:tc>
      </w:tr>
      <w:tr w:rsidR="004E419F" w:rsidRPr="005A7591" w14:paraId="1958E87F" w14:textId="77777777" w:rsidTr="004E419F">
        <w:trPr>
          <w:trHeight w:val="20"/>
        </w:trPr>
        <w:tc>
          <w:tcPr>
            <w:tcW w:w="5000" w:type="pct"/>
            <w:gridSpan w:val="5"/>
            <w:tcBorders>
              <w:top w:val="single" w:sz="6" w:space="0" w:color="000000"/>
              <w:left w:val="nil"/>
              <w:bottom w:val="nil"/>
              <w:right w:val="nil"/>
            </w:tcBorders>
            <w:shd w:val="clear" w:color="auto" w:fill="FFFFFF"/>
            <w:tcMar>
              <w:top w:w="0" w:type="dxa"/>
              <w:left w:w="70" w:type="dxa"/>
              <w:bottom w:w="0" w:type="dxa"/>
              <w:right w:w="70" w:type="dxa"/>
            </w:tcMar>
            <w:hideMark/>
          </w:tcPr>
          <w:p w14:paraId="3CF18A71" w14:textId="77777777" w:rsidR="004E419F" w:rsidRPr="005A7591" w:rsidRDefault="004E419F" w:rsidP="004E419F">
            <w:pPr>
              <w:spacing w:after="0"/>
              <w:ind w:right="-22"/>
              <w:jc w:val="both"/>
              <w:rPr>
                <w:rFonts w:ascii="Lato-Regular" w:hAnsi="Lato-Regular"/>
                <w:color w:val="000000"/>
                <w:sz w:val="16"/>
                <w:szCs w:val="16"/>
                <w:lang w:val="fr-FR"/>
              </w:rPr>
            </w:pPr>
            <w:r w:rsidRPr="005A7591">
              <w:rPr>
                <w:rFonts w:ascii="Lato-Regular" w:hAnsi="Lato-Regular"/>
                <w:color w:val="000000"/>
                <w:sz w:val="16"/>
                <w:szCs w:val="16"/>
                <w:lang w:val="fr-FR"/>
              </w:rPr>
              <w:t>Légende. M: Moyenne; ET: Ecart-type; </w:t>
            </w:r>
            <w:r w:rsidRPr="005A7591">
              <w:rPr>
                <w:rFonts w:ascii="Lato-Regular" w:hAnsi="Lato-Regular"/>
                <w:i/>
                <w:iCs/>
                <w:color w:val="000000"/>
                <w:sz w:val="16"/>
                <w:szCs w:val="16"/>
                <w:lang w:val="fr-FR"/>
              </w:rPr>
              <w:t>p </w:t>
            </w:r>
            <w:r w:rsidRPr="005A7591">
              <w:rPr>
                <w:rFonts w:ascii="Lato-Regular" w:hAnsi="Lato-Regular"/>
                <w:color w:val="000000"/>
                <w:sz w:val="16"/>
                <w:szCs w:val="16"/>
                <w:lang w:val="fr-FR"/>
              </w:rPr>
              <w:t>= degré de signification.</w:t>
            </w:r>
          </w:p>
        </w:tc>
      </w:tr>
    </w:tbl>
    <w:p w14:paraId="5F066FC6" w14:textId="77777777" w:rsidR="004E419F" w:rsidRDefault="004E419F" w:rsidP="004E419F">
      <w:pPr>
        <w:spacing w:after="240"/>
        <w:ind w:right="-22"/>
        <w:jc w:val="both"/>
        <w:rPr>
          <w:rFonts w:ascii="Lato-Regular" w:hAnsi="Lato-Regular"/>
          <w:color w:val="000000"/>
          <w:sz w:val="16"/>
          <w:szCs w:val="16"/>
          <w:lang w:val="fr-FR"/>
        </w:rPr>
      </w:pPr>
    </w:p>
    <w:p w14:paraId="7C7E76CB" w14:textId="77777777" w:rsidR="004E419F" w:rsidRDefault="004E419F" w:rsidP="004E419F">
      <w:pPr>
        <w:spacing w:after="240"/>
        <w:ind w:right="-22"/>
        <w:jc w:val="both"/>
        <w:rPr>
          <w:rFonts w:ascii="Lato-Regular" w:hAnsi="Lato-Regular"/>
          <w:color w:val="008F70"/>
          <w:sz w:val="16"/>
          <w:szCs w:val="16"/>
        </w:rPr>
      </w:pPr>
      <w:r>
        <w:rPr>
          <w:rFonts w:ascii="Lato-Regular" w:hAnsi="Lato-Regular"/>
          <w:color w:val="008F70"/>
          <w:sz w:val="16"/>
          <w:szCs w:val="16"/>
        </w:rPr>
        <w:t>DISCUSSION</w:t>
      </w:r>
    </w:p>
    <w:p w14:paraId="1AA04BAD" w14:textId="77777777" w:rsidR="004E419F" w:rsidRPr="005A7591" w:rsidRDefault="004E419F" w:rsidP="004E419F">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Les règles et les systèmes de compétition du tennis professionnel ont évolué ces dernières années. Parmi les changements les plus significatifs, on peut citer : la Coupe Davis a modifié le système des équipes en séries éliminatoires en 2019, les quatre tournois du Grand Chelem ont eu en 2019 un règlement différent pour le tie-break au cinquième set, ou l'inclusion du « point d'or » dans tous les matchs de la compétition en double, avec un super-tiebreak au troisième set. Cependant, peut-être que le tournoi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ATP Finals est celui qui comporte le plus de changements réglementaires différenciés par rapport au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xml:space="preserve"> ATP Finals, avec des matchs joués au meilleur des 5 sets avec quatre jeux par set, l'élimination des avantages avec le « point d’or », et l'inclusion de la règle de non-licenciement. </w:t>
      </w:r>
    </w:p>
    <w:p w14:paraId="1283DE21" w14:textId="77777777" w:rsidR="004E419F" w:rsidRPr="005A7591" w:rsidRDefault="004E419F" w:rsidP="004E419F">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Comme prévu, le nouveau format de compétition du tournoi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a réduit le nombre et la durée des sets, ainsi que le nombre de points et de parties jouées par set (tableau 1). D'autre part, et bien que la durée du match et le nombre total de points aient été inférieurs dans le tournoi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par rapport aux finales ATP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ces différences n'étaient pas significatives (p &gt; 0,05). Ainsi, on pourrait soutenir que la règle consistant à inclure des séries plus courtes de quatre jeux diminue la durée de la série, mais pas de manière aussi significative la durée du match.</w:t>
      </w:r>
    </w:p>
    <w:p w14:paraId="67ED46E4" w14:textId="77777777" w:rsidR="004E419F" w:rsidRPr="005A7591" w:rsidRDefault="004E419F" w:rsidP="004E419F">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En ce qui concerne les statistiques au service, on a observé moins de points joués et gagnés au 1</w:t>
      </w:r>
      <w:r w:rsidRPr="005A7591">
        <w:rPr>
          <w:rFonts w:ascii="Lato-Regular" w:hAnsi="Lato-Regular"/>
          <w:color w:val="000000"/>
          <w:sz w:val="16"/>
          <w:szCs w:val="16"/>
          <w:vertAlign w:val="superscript"/>
          <w:lang w:val="fr-FR"/>
        </w:rPr>
        <w:t>er</w:t>
      </w:r>
      <w:r w:rsidRPr="005A7591">
        <w:rPr>
          <w:rFonts w:ascii="Lato-Regular" w:hAnsi="Lato-Regular"/>
          <w:color w:val="000000"/>
          <w:sz w:val="16"/>
          <w:szCs w:val="16"/>
          <w:lang w:val="fr-FR"/>
        </w:rPr>
        <w:t xml:space="preserve">  service lors du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par </w:t>
      </w:r>
      <w:r w:rsidRPr="005A7591">
        <w:rPr>
          <w:rFonts w:ascii="Lato-Regular" w:hAnsi="Lato-Regular"/>
          <w:color w:val="000000"/>
          <w:sz w:val="16"/>
          <w:szCs w:val="16"/>
          <w:lang w:val="fr-FR"/>
        </w:rPr>
        <w:lastRenderedPageBreak/>
        <w:t xml:space="preserve">rapport aux finales ATP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ce qui pourrait être la cause du nombre inférieur d'aces dans ce tournoi.</w:t>
      </w:r>
    </w:p>
    <w:p w14:paraId="14C58DCB" w14:textId="77777777" w:rsidR="004E419F" w:rsidRPr="005A7591" w:rsidRDefault="004E419F" w:rsidP="004E419F">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Cependant, les données collectées n'ont pas analysé les informations relatives à la situation de la règle du « no let » au service, par conséquent, on ne peut pas conclure que ces résultats sont produits par la règle du « no let ». Cependant, bien que le service ait pu être effectué sans let, dans les matchs du tournoi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aucun ace n'a été réalisé, et des valeurs plus élevées ont été obtenues pour le nombre de points joués derrière le premier service ou pour le pourcentage de points gagnés avec le premier service.</w:t>
      </w:r>
    </w:p>
    <w:p w14:paraId="79DD6CF9" w14:textId="77777777" w:rsidR="004E419F" w:rsidRPr="005A7591" w:rsidRDefault="004E419F" w:rsidP="004E419F">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En revanche, dans l'épreuve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le nombre de balles de break gagnées et jouées a augmenté par rapport au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xml:space="preserve"> (bien que de manière non significative). Par conséquent, malgré l'inclusion de la règle des points d'or et le fait de jouer moins de jeux par set (6 contre 10), d'un point de vue statistique, le nombre d'occasions de break dans un match ne semble pas augmenter.</w:t>
      </w:r>
    </w:p>
    <w:p w14:paraId="3EAA908E" w14:textId="77777777" w:rsidR="004E419F" w:rsidRPr="005A7591" w:rsidRDefault="004E419F" w:rsidP="004E419F">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En outre, les données de cette étude ont montré des différences dans les statistiques entre les gagnants et les perdants des matches, comme l'ont analysé des études précédentes (</w:t>
      </w:r>
      <w:proofErr w:type="spellStart"/>
      <w:r w:rsidRPr="005A7591">
        <w:rPr>
          <w:rFonts w:ascii="Lato-Regular" w:hAnsi="Lato-Regular"/>
          <w:color w:val="000000"/>
          <w:sz w:val="16"/>
          <w:szCs w:val="16"/>
          <w:lang w:val="fr-FR"/>
        </w:rPr>
        <w:t>Ferjan</w:t>
      </w:r>
      <w:proofErr w:type="spellEnd"/>
      <w:r w:rsidRPr="005A7591">
        <w:rPr>
          <w:rFonts w:ascii="Lato-Regular" w:hAnsi="Lato-Regular"/>
          <w:color w:val="000000"/>
          <w:sz w:val="16"/>
          <w:szCs w:val="16"/>
          <w:lang w:val="fr-FR"/>
        </w:rPr>
        <w:t xml:space="preserve">, 2001 ; </w:t>
      </w:r>
      <w:proofErr w:type="spellStart"/>
      <w:r w:rsidRPr="005A7591">
        <w:rPr>
          <w:rFonts w:ascii="Lato-Regular" w:hAnsi="Lato-Regular"/>
          <w:color w:val="000000"/>
          <w:sz w:val="16"/>
          <w:szCs w:val="16"/>
          <w:lang w:val="fr-FR"/>
        </w:rPr>
        <w:t>Quereda-Sánchez</w:t>
      </w:r>
      <w:proofErr w:type="spellEnd"/>
      <w:r w:rsidRPr="005A7591">
        <w:rPr>
          <w:rFonts w:ascii="Lato-Regular" w:hAnsi="Lato-Regular"/>
          <w:color w:val="000000"/>
          <w:sz w:val="16"/>
          <w:szCs w:val="16"/>
          <w:lang w:val="fr-FR"/>
        </w:rPr>
        <w:t xml:space="preserve">, </w:t>
      </w:r>
      <w:proofErr w:type="spellStart"/>
      <w:r w:rsidRPr="005A7591">
        <w:rPr>
          <w:rFonts w:ascii="Lato-Regular" w:hAnsi="Lato-Regular"/>
          <w:color w:val="000000"/>
          <w:sz w:val="16"/>
          <w:szCs w:val="16"/>
          <w:lang w:val="fr-FR"/>
        </w:rPr>
        <w:t>Courel-Ibáñez</w:t>
      </w:r>
      <w:proofErr w:type="spellEnd"/>
      <w:r w:rsidRPr="005A7591">
        <w:rPr>
          <w:rFonts w:ascii="Lato-Regular" w:hAnsi="Lato-Regular"/>
          <w:color w:val="000000"/>
          <w:sz w:val="16"/>
          <w:szCs w:val="16"/>
          <w:lang w:val="fr-FR"/>
        </w:rPr>
        <w:t xml:space="preserve">, </w:t>
      </w:r>
      <w:proofErr w:type="spellStart"/>
      <w:r w:rsidRPr="005A7591">
        <w:rPr>
          <w:rFonts w:ascii="Lato-Regular" w:hAnsi="Lato-Regular"/>
          <w:color w:val="000000"/>
          <w:sz w:val="16"/>
          <w:szCs w:val="16"/>
          <w:lang w:val="fr-FR"/>
        </w:rPr>
        <w:t>Sánchez-Pay</w:t>
      </w:r>
      <w:proofErr w:type="spellEnd"/>
      <w:r w:rsidRPr="005A7591">
        <w:rPr>
          <w:rFonts w:ascii="Lato-Regular" w:hAnsi="Lato-Regular"/>
          <w:color w:val="000000"/>
          <w:sz w:val="16"/>
          <w:szCs w:val="16"/>
          <w:lang w:val="fr-FR"/>
        </w:rPr>
        <w:t>, Alfonso-</w:t>
      </w:r>
      <w:proofErr w:type="spellStart"/>
      <w:r w:rsidRPr="005A7591">
        <w:rPr>
          <w:rFonts w:ascii="Lato-Regular" w:hAnsi="Lato-Regular"/>
          <w:color w:val="000000"/>
          <w:sz w:val="16"/>
          <w:szCs w:val="16"/>
          <w:lang w:val="fr-FR"/>
        </w:rPr>
        <w:t>Asencio</w:t>
      </w:r>
      <w:proofErr w:type="spellEnd"/>
      <w:r w:rsidRPr="005A7591">
        <w:rPr>
          <w:rFonts w:ascii="Lato-Regular" w:hAnsi="Lato-Regular"/>
          <w:color w:val="000000"/>
          <w:sz w:val="16"/>
          <w:szCs w:val="16"/>
          <w:lang w:val="fr-FR"/>
        </w:rPr>
        <w:t xml:space="preserve"> &amp; </w:t>
      </w:r>
      <w:proofErr w:type="spellStart"/>
      <w:r w:rsidRPr="005A7591">
        <w:rPr>
          <w:rFonts w:ascii="Lato-Regular" w:hAnsi="Lato-Regular"/>
          <w:color w:val="000000"/>
          <w:sz w:val="16"/>
          <w:szCs w:val="16"/>
          <w:lang w:val="fr-FR"/>
        </w:rPr>
        <w:t>Sánchez-Alcaraz</w:t>
      </w:r>
      <w:proofErr w:type="spellEnd"/>
      <w:r w:rsidRPr="005A7591">
        <w:rPr>
          <w:rFonts w:ascii="Lato-Regular" w:hAnsi="Lato-Regular"/>
          <w:color w:val="000000"/>
          <w:sz w:val="16"/>
          <w:szCs w:val="16"/>
          <w:lang w:val="fr-FR"/>
        </w:rPr>
        <w:t xml:space="preserve">, 2020). Il a été observé que les vainqueurs des matchs du tournoi </w:t>
      </w:r>
      <w:proofErr w:type="spellStart"/>
      <w:r w:rsidRPr="005A7591">
        <w:rPr>
          <w:rFonts w:ascii="Lato-Regular" w:hAnsi="Lato-Regular"/>
          <w:color w:val="000000"/>
          <w:sz w:val="16"/>
          <w:szCs w:val="16"/>
          <w:lang w:val="fr-FR"/>
        </w:rPr>
        <w:t>Nitto</w:t>
      </w:r>
      <w:proofErr w:type="spellEnd"/>
      <w:r w:rsidRPr="005A7591">
        <w:rPr>
          <w:rFonts w:ascii="Lato-Regular" w:hAnsi="Lato-Regular"/>
          <w:color w:val="000000"/>
          <w:sz w:val="16"/>
          <w:szCs w:val="16"/>
          <w:lang w:val="fr-FR"/>
        </w:rPr>
        <w:t xml:space="preserve"> ont gagné environ plus de deux matchs et six points par match que les perdants, avec des différences très similaires dans le tournoi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(tableau 2). Des différences significatives n'ont été constatées que dans le pourcentage de points gagnés par set, avec une différence de 5,5 % entre les deux tournois. Par conséquent, en général, et compte tenu de la similitude des valeurs concernant la différence moyenne entre les gagnants et les perdants dans chacun des deux tournois, les données ont confirmé une similitude dans les statistiques relatives à la performance des joueurs en fonction du résultat du match dans les deux tournois (tableau 2).</w:t>
      </w:r>
    </w:p>
    <w:p w14:paraId="30787A6B" w14:textId="77777777" w:rsidR="004E419F" w:rsidRPr="005A7591" w:rsidRDefault="004E419F" w:rsidP="004E419F">
      <w:pPr>
        <w:spacing w:after="240"/>
        <w:ind w:right="-22"/>
        <w:jc w:val="both"/>
        <w:rPr>
          <w:rFonts w:ascii="Lato-Regular" w:hAnsi="Lato-Regular"/>
          <w:color w:val="000000"/>
          <w:sz w:val="16"/>
          <w:szCs w:val="16"/>
          <w:lang w:val="fr-FR"/>
        </w:rPr>
      </w:pPr>
      <w:r w:rsidRPr="005A7591">
        <w:rPr>
          <w:rFonts w:ascii="Lato-Regular" w:hAnsi="Lato-Regular"/>
          <w:color w:val="000000"/>
          <w:sz w:val="16"/>
          <w:szCs w:val="16"/>
          <w:lang w:val="fr-FR"/>
        </w:rPr>
        <w:t>Les résultats de cette étude ont une application pratique importante pour les entraîneurs et les joueurs dans la conception de séances d'entraînement et la préparation de matchs adaptés aux exigences spécifiques de la compétition. Par exemple, une bonne préparation tactique et mentale des points appelés moment clé (comme le point d'or) semble décisive, puisqu'il a été démontré que l'influence du marqueur (victoire, match nul ou défaite), en plus de l'importance du type de point contesté, peut influencer la prise de décision sous pression, affectant ainsi la performance (</w:t>
      </w:r>
      <w:proofErr w:type="spellStart"/>
      <w:r w:rsidRPr="005A7591">
        <w:rPr>
          <w:rFonts w:ascii="Lato-Regular" w:hAnsi="Lato-Regular"/>
          <w:color w:val="000000"/>
          <w:sz w:val="16"/>
          <w:szCs w:val="16"/>
          <w:lang w:val="fr-FR"/>
        </w:rPr>
        <w:t>Mesagno</w:t>
      </w:r>
      <w:proofErr w:type="spellEnd"/>
      <w:r w:rsidRPr="005A7591">
        <w:rPr>
          <w:rFonts w:ascii="Lato-Regular" w:hAnsi="Lato-Regular"/>
          <w:color w:val="000000"/>
          <w:sz w:val="16"/>
          <w:szCs w:val="16"/>
          <w:lang w:val="fr-FR"/>
        </w:rPr>
        <w:t xml:space="preserve">, </w:t>
      </w:r>
      <w:proofErr w:type="spellStart"/>
      <w:r w:rsidRPr="005A7591">
        <w:rPr>
          <w:rFonts w:ascii="Lato-Regular" w:hAnsi="Lato-Regular"/>
          <w:color w:val="000000"/>
          <w:sz w:val="16"/>
          <w:szCs w:val="16"/>
          <w:lang w:val="fr-FR"/>
        </w:rPr>
        <w:t>Geukes</w:t>
      </w:r>
      <w:proofErr w:type="spellEnd"/>
      <w:r w:rsidRPr="005A7591">
        <w:rPr>
          <w:rFonts w:ascii="Lato-Regular" w:hAnsi="Lato-Regular"/>
          <w:color w:val="000000"/>
          <w:sz w:val="16"/>
          <w:szCs w:val="16"/>
          <w:lang w:val="fr-FR"/>
        </w:rPr>
        <w:t xml:space="preserve"> &amp; Larkin, 2015).</w:t>
      </w:r>
    </w:p>
    <w:p w14:paraId="18FD24C1" w14:textId="77777777" w:rsidR="004E419F" w:rsidRDefault="004E419F" w:rsidP="004E419F">
      <w:pPr>
        <w:spacing w:after="240"/>
        <w:jc w:val="both"/>
        <w:rPr>
          <w:rFonts w:ascii="Lato-Regular" w:hAnsi="Lato-Regular"/>
          <w:color w:val="008F70"/>
          <w:sz w:val="16"/>
          <w:szCs w:val="16"/>
        </w:rPr>
      </w:pPr>
      <w:r>
        <w:rPr>
          <w:rFonts w:ascii="Lato-Regular" w:hAnsi="Lato-Regular"/>
          <w:color w:val="008F70"/>
          <w:sz w:val="16"/>
          <w:szCs w:val="16"/>
        </w:rPr>
        <w:t>CONCLUSION</w:t>
      </w:r>
    </w:p>
    <w:p w14:paraId="4277B756" w14:textId="77777777" w:rsidR="004E419F" w:rsidRPr="005A7591" w:rsidRDefault="004E419F" w:rsidP="004E419F">
      <w:pPr>
        <w:spacing w:after="0" w:line="240" w:lineRule="auto"/>
        <w:jc w:val="both"/>
        <w:rPr>
          <w:rFonts w:ascii="Lato-Regular" w:hAnsi="Lato-Regular"/>
          <w:color w:val="000000"/>
          <w:sz w:val="16"/>
          <w:szCs w:val="16"/>
          <w:lang w:val="fr-FR"/>
        </w:rPr>
      </w:pPr>
      <w:r w:rsidRPr="005A7591">
        <w:rPr>
          <w:rFonts w:ascii="Lato-Regular" w:hAnsi="Lato-Regular"/>
          <w:color w:val="000000"/>
          <w:sz w:val="16"/>
          <w:szCs w:val="16"/>
          <w:lang w:val="fr-FR"/>
        </w:rPr>
        <w:t xml:space="preserve">Les résultats de cette étude montrent que le règlement spécial du tournoi </w:t>
      </w:r>
      <w:proofErr w:type="spellStart"/>
      <w:r w:rsidRPr="005A7591">
        <w:rPr>
          <w:rFonts w:ascii="Lato-Regular" w:hAnsi="Lato-Regular"/>
          <w:color w:val="000000"/>
          <w:sz w:val="16"/>
          <w:szCs w:val="16"/>
          <w:lang w:val="fr-FR"/>
        </w:rPr>
        <w:t>NextGen</w:t>
      </w:r>
      <w:proofErr w:type="spellEnd"/>
      <w:r w:rsidRPr="005A7591">
        <w:rPr>
          <w:rFonts w:ascii="Lato-Regular" w:hAnsi="Lato-Regular"/>
          <w:color w:val="000000"/>
          <w:sz w:val="16"/>
          <w:szCs w:val="16"/>
          <w:lang w:val="fr-FR"/>
        </w:rPr>
        <w:t xml:space="preserve"> ATP Finals pourrait influencer la durée du match et le nombre total de possibilités de break, mais pas de manière significative. Le pourcentage de premiers services était similaire entre les deux tournois, de sorte que, malgré l'inclusion de la règle du no let, les interruptions de temps entre le premier et le second service étaient équivalentes.</w:t>
      </w:r>
    </w:p>
    <w:p w14:paraId="05C13311" w14:textId="77777777" w:rsidR="004E419F" w:rsidRDefault="004E419F" w:rsidP="004E419F">
      <w:pPr>
        <w:spacing w:after="0" w:line="240" w:lineRule="auto"/>
        <w:jc w:val="both"/>
        <w:rPr>
          <w:rFonts w:ascii="Lato-Regular" w:hAnsi="Lato-Regular"/>
          <w:color w:val="008F70"/>
          <w:sz w:val="16"/>
          <w:szCs w:val="16"/>
          <w:lang w:val="en-GB"/>
        </w:rPr>
      </w:pPr>
    </w:p>
    <w:p w14:paraId="5FD0B7F7" w14:textId="77777777" w:rsidR="004E419F" w:rsidRPr="00F66197" w:rsidRDefault="004E419F" w:rsidP="004E419F">
      <w:pPr>
        <w:spacing w:after="0" w:line="240" w:lineRule="auto"/>
        <w:jc w:val="both"/>
        <w:rPr>
          <w:rFonts w:ascii="Lato-Regular" w:hAnsi="Lato-Regular"/>
          <w:color w:val="008F70"/>
          <w:sz w:val="16"/>
          <w:szCs w:val="16"/>
          <w:lang w:val="en-GB"/>
        </w:rPr>
      </w:pPr>
      <w:r w:rsidRPr="00F66197">
        <w:rPr>
          <w:rFonts w:ascii="Lato-Regular" w:hAnsi="Lato-Regular"/>
          <w:color w:val="008F70"/>
          <w:sz w:val="16"/>
          <w:szCs w:val="16"/>
          <w:lang w:val="en-GB"/>
        </w:rPr>
        <w:t>BIBLIOGRAPHIE</w:t>
      </w:r>
    </w:p>
    <w:p w14:paraId="652E5FB0" w14:textId="77777777" w:rsidR="004E419F" w:rsidRDefault="004E419F" w:rsidP="004E419F">
      <w:pPr>
        <w:spacing w:after="0" w:line="240" w:lineRule="auto"/>
        <w:jc w:val="both"/>
        <w:rPr>
          <w:rFonts w:ascii="Lato-Regular" w:hAnsi="Lato-Regular"/>
          <w:sz w:val="14"/>
          <w:szCs w:val="14"/>
        </w:rPr>
      </w:pPr>
    </w:p>
    <w:p w14:paraId="3F19BE6D" w14:textId="77777777" w:rsidR="004E419F" w:rsidRDefault="004E419F" w:rsidP="004E419F">
      <w:pPr>
        <w:contextualSpacing/>
        <w:rPr>
          <w:rFonts w:ascii="Lato-Regular" w:hAnsi="Lato-Regular"/>
          <w:sz w:val="14"/>
          <w:szCs w:val="14"/>
        </w:rPr>
      </w:pPr>
      <w:proofErr w:type="gramStart"/>
      <w:r w:rsidRPr="00266C07">
        <w:rPr>
          <w:rFonts w:ascii="Lato-Regular" w:hAnsi="Lato-Regular"/>
          <w:sz w:val="14"/>
          <w:szCs w:val="14"/>
        </w:rPr>
        <w:t>Barnett, T., Meyer, D., &amp; Pollard, G. (2008).</w:t>
      </w:r>
      <w:proofErr w:type="gramEnd"/>
      <w:r w:rsidRPr="00266C07">
        <w:rPr>
          <w:rFonts w:ascii="Lato-Regular" w:hAnsi="Lato-Regular"/>
          <w:sz w:val="14"/>
          <w:szCs w:val="14"/>
        </w:rPr>
        <w:t xml:space="preserve"> Applying match statistics to</w:t>
      </w:r>
      <w:r>
        <w:rPr>
          <w:rFonts w:ascii="Lato-Regular" w:hAnsi="Lato-Regular"/>
          <w:sz w:val="14"/>
          <w:szCs w:val="14"/>
        </w:rPr>
        <w:t xml:space="preserve"> </w:t>
      </w:r>
    </w:p>
    <w:p w14:paraId="59AB2D1E" w14:textId="77777777" w:rsidR="004E419F" w:rsidRPr="00266C07" w:rsidRDefault="004E419F" w:rsidP="004E419F">
      <w:pPr>
        <w:ind w:left="288"/>
        <w:contextualSpacing/>
        <w:rPr>
          <w:rFonts w:ascii="Lato-Regular" w:hAnsi="Lato-Regular"/>
          <w:sz w:val="14"/>
          <w:szCs w:val="14"/>
        </w:rPr>
      </w:pPr>
      <w:proofErr w:type="gramStart"/>
      <w:r w:rsidRPr="00266C07">
        <w:rPr>
          <w:rFonts w:ascii="Lato-Regular" w:hAnsi="Lato-Regular"/>
          <w:sz w:val="14"/>
          <w:szCs w:val="14"/>
        </w:rPr>
        <w:lastRenderedPageBreak/>
        <w:t>increase</w:t>
      </w:r>
      <w:proofErr w:type="gramEnd"/>
      <w:r w:rsidRPr="00266C07">
        <w:rPr>
          <w:rFonts w:ascii="Lato-Regular" w:hAnsi="Lato-Regular"/>
          <w:sz w:val="14"/>
          <w:szCs w:val="14"/>
        </w:rPr>
        <w:t xml:space="preserve"> serving performance. Medicine and Science in Tennis, 13(2), 24–27.</w:t>
      </w:r>
    </w:p>
    <w:p w14:paraId="16EEC9B8" w14:textId="77777777" w:rsidR="004E419F" w:rsidRDefault="004E419F" w:rsidP="004E419F">
      <w:pPr>
        <w:contextualSpacing/>
        <w:rPr>
          <w:rFonts w:ascii="Lato-Regular" w:hAnsi="Lato-Regular"/>
          <w:sz w:val="14"/>
          <w:szCs w:val="14"/>
        </w:rPr>
      </w:pPr>
      <w:proofErr w:type="gramStart"/>
      <w:r w:rsidRPr="00266C07">
        <w:rPr>
          <w:rFonts w:ascii="Lato-Regular" w:hAnsi="Lato-Regular"/>
          <w:sz w:val="14"/>
          <w:szCs w:val="14"/>
        </w:rPr>
        <w:t xml:space="preserve">Brown, E., &amp; </w:t>
      </w:r>
      <w:proofErr w:type="spellStart"/>
      <w:r w:rsidRPr="00266C07">
        <w:rPr>
          <w:rFonts w:ascii="Lato-Regular" w:hAnsi="Lato-Regular"/>
          <w:sz w:val="14"/>
          <w:szCs w:val="14"/>
        </w:rPr>
        <w:t>O’Donoghue</w:t>
      </w:r>
      <w:proofErr w:type="spellEnd"/>
      <w:r w:rsidRPr="00266C07">
        <w:rPr>
          <w:rFonts w:ascii="Lato-Regular" w:hAnsi="Lato-Regular"/>
          <w:sz w:val="14"/>
          <w:szCs w:val="14"/>
        </w:rPr>
        <w:t>, P. (2008).</w:t>
      </w:r>
      <w:proofErr w:type="gramEnd"/>
      <w:r w:rsidRPr="00266C07">
        <w:rPr>
          <w:rFonts w:ascii="Lato-Regular" w:hAnsi="Lato-Regular"/>
          <w:sz w:val="14"/>
          <w:szCs w:val="14"/>
        </w:rPr>
        <w:t xml:space="preserve"> Gender and surface effect on </w:t>
      </w:r>
    </w:p>
    <w:p w14:paraId="61BD47F2" w14:textId="77777777" w:rsidR="004E419F" w:rsidRPr="00266C07" w:rsidRDefault="004E419F" w:rsidP="004E419F">
      <w:pPr>
        <w:ind w:left="284"/>
        <w:contextualSpacing/>
        <w:rPr>
          <w:rFonts w:ascii="Lato-Regular" w:hAnsi="Lato-Regular"/>
          <w:sz w:val="14"/>
          <w:szCs w:val="14"/>
        </w:rPr>
      </w:pPr>
      <w:proofErr w:type="gramStart"/>
      <w:r w:rsidRPr="00266C07">
        <w:rPr>
          <w:rFonts w:ascii="Lato-Regular" w:hAnsi="Lato-Regular"/>
          <w:sz w:val="14"/>
          <w:szCs w:val="14"/>
        </w:rPr>
        <w:t>elite</w:t>
      </w:r>
      <w:proofErr w:type="gramEnd"/>
      <w:r w:rsidRPr="00266C07">
        <w:rPr>
          <w:rFonts w:ascii="Lato-Regular" w:hAnsi="Lato-Regular"/>
          <w:sz w:val="14"/>
          <w:szCs w:val="14"/>
        </w:rPr>
        <w:t xml:space="preserve"> tennis strategy. </w:t>
      </w:r>
      <w:proofErr w:type="gramStart"/>
      <w:r w:rsidRPr="00266C07">
        <w:rPr>
          <w:rFonts w:ascii="Lato-Regular" w:hAnsi="Lato-Regular"/>
          <w:sz w:val="14"/>
          <w:szCs w:val="14"/>
        </w:rPr>
        <w:t>ITF Coaching and Sport Science Review, 46</w:t>
      </w:r>
      <w:r>
        <w:rPr>
          <w:rFonts w:ascii="Lato-Regular" w:hAnsi="Lato-Regular"/>
          <w:sz w:val="14"/>
          <w:szCs w:val="14"/>
        </w:rPr>
        <w:t>, 9</w:t>
      </w:r>
      <w:r w:rsidRPr="00266C07">
        <w:rPr>
          <w:rFonts w:ascii="Lato-Regular" w:hAnsi="Lato-Regular"/>
          <w:sz w:val="14"/>
          <w:szCs w:val="14"/>
        </w:rPr>
        <w:t>11.</w:t>
      </w:r>
      <w:proofErr w:type="gramEnd"/>
    </w:p>
    <w:p w14:paraId="357E0048" w14:textId="77777777" w:rsidR="004E419F" w:rsidRDefault="004E419F" w:rsidP="004E419F">
      <w:pPr>
        <w:contextualSpacing/>
        <w:rPr>
          <w:rFonts w:ascii="Lato-Regular" w:hAnsi="Lato-Regular"/>
          <w:sz w:val="14"/>
          <w:szCs w:val="14"/>
        </w:rPr>
      </w:pPr>
      <w:proofErr w:type="spellStart"/>
      <w:proofErr w:type="gramStart"/>
      <w:r w:rsidRPr="00266C07">
        <w:rPr>
          <w:rFonts w:ascii="Lato-Regular" w:hAnsi="Lato-Regular"/>
          <w:sz w:val="14"/>
          <w:szCs w:val="14"/>
        </w:rPr>
        <w:t>Collinson</w:t>
      </w:r>
      <w:proofErr w:type="spellEnd"/>
      <w:r w:rsidRPr="00266C07">
        <w:rPr>
          <w:rFonts w:ascii="Lato-Regular" w:hAnsi="Lato-Regular"/>
          <w:sz w:val="14"/>
          <w:szCs w:val="14"/>
        </w:rPr>
        <w:t>, L., &amp; Hughes, M. D. (2003).</w:t>
      </w:r>
      <w:proofErr w:type="gramEnd"/>
      <w:r w:rsidRPr="00266C07">
        <w:rPr>
          <w:rFonts w:ascii="Lato-Regular" w:hAnsi="Lato-Regular"/>
          <w:sz w:val="14"/>
          <w:szCs w:val="14"/>
        </w:rPr>
        <w:t xml:space="preserve"> Surface effect on the strategy of </w:t>
      </w:r>
    </w:p>
    <w:p w14:paraId="3DDD9D2D" w14:textId="77777777" w:rsidR="004E419F" w:rsidRPr="00266C07" w:rsidRDefault="004E419F" w:rsidP="004E419F">
      <w:pPr>
        <w:ind w:left="284"/>
        <w:contextualSpacing/>
        <w:rPr>
          <w:rFonts w:ascii="Lato-Regular" w:hAnsi="Lato-Regular"/>
          <w:sz w:val="14"/>
          <w:szCs w:val="14"/>
        </w:rPr>
      </w:pPr>
      <w:proofErr w:type="gramStart"/>
      <w:r w:rsidRPr="00266C07">
        <w:rPr>
          <w:rFonts w:ascii="Lato-Regular" w:hAnsi="Lato-Regular"/>
          <w:sz w:val="14"/>
          <w:szCs w:val="14"/>
        </w:rPr>
        <w:t>elite</w:t>
      </w:r>
      <w:proofErr w:type="gramEnd"/>
      <w:r w:rsidRPr="00266C07">
        <w:rPr>
          <w:rFonts w:ascii="Lato-Regular" w:hAnsi="Lato-Regular"/>
          <w:sz w:val="14"/>
          <w:szCs w:val="14"/>
        </w:rPr>
        <w:t xml:space="preserve"> female tennis players. Journal of Sports Sciences, 21(4), 266–267.</w:t>
      </w:r>
    </w:p>
    <w:p w14:paraId="79E3AB13" w14:textId="77777777" w:rsidR="004E419F" w:rsidRDefault="004E419F" w:rsidP="004E419F">
      <w:pPr>
        <w:contextualSpacing/>
        <w:rPr>
          <w:rFonts w:ascii="Lato-Regular" w:hAnsi="Lato-Regular"/>
          <w:sz w:val="14"/>
          <w:szCs w:val="14"/>
        </w:rPr>
      </w:pPr>
      <w:proofErr w:type="gramStart"/>
      <w:r w:rsidRPr="00266C07">
        <w:rPr>
          <w:rFonts w:ascii="Lato-Regular" w:hAnsi="Lato-Regular"/>
          <w:sz w:val="14"/>
          <w:szCs w:val="14"/>
        </w:rPr>
        <w:t>Cross, R., &amp; Pollard, G. (2009).</w:t>
      </w:r>
      <w:proofErr w:type="gramEnd"/>
      <w:r w:rsidRPr="00266C07">
        <w:rPr>
          <w:rFonts w:ascii="Lato-Regular" w:hAnsi="Lato-Regular"/>
          <w:sz w:val="14"/>
          <w:szCs w:val="14"/>
        </w:rPr>
        <w:t xml:space="preserve"> Grand slam men’s singles tennis 1991-</w:t>
      </w:r>
    </w:p>
    <w:p w14:paraId="2E26EF0A" w14:textId="77777777" w:rsidR="004E419F" w:rsidRPr="00266C07" w:rsidRDefault="004E419F" w:rsidP="004E419F">
      <w:pPr>
        <w:ind w:left="284"/>
        <w:contextualSpacing/>
        <w:rPr>
          <w:rFonts w:ascii="Lato-Regular" w:hAnsi="Lato-Regular"/>
          <w:sz w:val="14"/>
          <w:szCs w:val="14"/>
        </w:rPr>
      </w:pPr>
      <w:r w:rsidRPr="00266C07">
        <w:rPr>
          <w:rFonts w:ascii="Lato-Regular" w:hAnsi="Lato-Regular"/>
          <w:sz w:val="14"/>
          <w:szCs w:val="14"/>
        </w:rPr>
        <w:t>2009</w:t>
      </w:r>
      <w:r>
        <w:rPr>
          <w:rFonts w:ascii="Lato-Regular" w:hAnsi="Lato-Regular"/>
          <w:sz w:val="14"/>
          <w:szCs w:val="14"/>
        </w:rPr>
        <w:t xml:space="preserve"> </w:t>
      </w:r>
      <w:r w:rsidRPr="00266C07">
        <w:rPr>
          <w:rFonts w:ascii="Lato-Regular" w:hAnsi="Lato-Regular"/>
          <w:sz w:val="14"/>
          <w:szCs w:val="14"/>
        </w:rPr>
        <w:t>serve</w:t>
      </w:r>
      <w:r>
        <w:rPr>
          <w:rFonts w:ascii="Lato-Regular" w:hAnsi="Lato-Regular"/>
          <w:sz w:val="14"/>
          <w:szCs w:val="14"/>
        </w:rPr>
        <w:t xml:space="preserve"> </w:t>
      </w:r>
      <w:r w:rsidRPr="00266C07">
        <w:rPr>
          <w:rFonts w:ascii="Lato-Regular" w:hAnsi="Lato-Regular"/>
          <w:sz w:val="14"/>
          <w:szCs w:val="14"/>
        </w:rPr>
        <w:t>speeds and other related data. ITF Coaching and Sport Science Review, 16(49), 8–10.</w:t>
      </w:r>
    </w:p>
    <w:p w14:paraId="26AD2548" w14:textId="77777777" w:rsidR="004E419F" w:rsidRDefault="004E419F" w:rsidP="004E419F">
      <w:pPr>
        <w:contextualSpacing/>
        <w:rPr>
          <w:rFonts w:ascii="Lato-Regular" w:hAnsi="Lato-Regular"/>
          <w:sz w:val="14"/>
          <w:szCs w:val="14"/>
        </w:rPr>
      </w:pPr>
      <w:proofErr w:type="spellStart"/>
      <w:r w:rsidRPr="00266C07">
        <w:rPr>
          <w:rFonts w:ascii="Lato-Regular" w:hAnsi="Lato-Regular"/>
          <w:sz w:val="14"/>
          <w:szCs w:val="14"/>
        </w:rPr>
        <w:t>Ferjan</w:t>
      </w:r>
      <w:proofErr w:type="spellEnd"/>
      <w:r w:rsidRPr="00266C07">
        <w:rPr>
          <w:rFonts w:ascii="Lato-Regular" w:hAnsi="Lato-Regular"/>
          <w:sz w:val="14"/>
          <w:szCs w:val="14"/>
        </w:rPr>
        <w:t xml:space="preserve">, R. (2001). Comparison of game characteristics of final matches </w:t>
      </w:r>
    </w:p>
    <w:p w14:paraId="5B7BFC0B" w14:textId="77777777" w:rsidR="004E419F" w:rsidRPr="00266C07" w:rsidRDefault="004E419F" w:rsidP="004E419F">
      <w:pPr>
        <w:ind w:left="284"/>
        <w:contextualSpacing/>
        <w:rPr>
          <w:rFonts w:ascii="Lato-Regular" w:hAnsi="Lato-Regular"/>
          <w:sz w:val="14"/>
          <w:szCs w:val="14"/>
        </w:rPr>
      </w:pPr>
      <w:proofErr w:type="gramStart"/>
      <w:r w:rsidRPr="00266C07">
        <w:rPr>
          <w:rFonts w:ascii="Lato-Regular" w:hAnsi="Lato-Regular"/>
          <w:sz w:val="14"/>
          <w:szCs w:val="14"/>
        </w:rPr>
        <w:t>at</w:t>
      </w:r>
      <w:proofErr w:type="gramEnd"/>
      <w:r w:rsidRPr="00266C07">
        <w:rPr>
          <w:rFonts w:ascii="Lato-Regular" w:hAnsi="Lato-Regular"/>
          <w:sz w:val="14"/>
          <w:szCs w:val="14"/>
        </w:rPr>
        <w:t xml:space="preserve"> the US and Australian Opens in 2000 and 2001. </w:t>
      </w:r>
      <w:proofErr w:type="gramStart"/>
      <w:r w:rsidRPr="00266C07">
        <w:rPr>
          <w:rFonts w:ascii="Lato-Regular" w:hAnsi="Lato-Regular"/>
          <w:sz w:val="14"/>
          <w:szCs w:val="14"/>
        </w:rPr>
        <w:t>University of Ljubljana, Faculty of Sport.</w:t>
      </w:r>
      <w:proofErr w:type="gramEnd"/>
      <w:r w:rsidRPr="00266C07">
        <w:rPr>
          <w:rFonts w:ascii="Lato-Regular" w:hAnsi="Lato-Regular"/>
          <w:sz w:val="14"/>
          <w:szCs w:val="14"/>
        </w:rPr>
        <w:t xml:space="preserve"> Ljubljana</w:t>
      </w:r>
    </w:p>
    <w:p w14:paraId="3E811760" w14:textId="77777777" w:rsidR="004E419F" w:rsidRDefault="004E419F" w:rsidP="004E419F">
      <w:pPr>
        <w:contextualSpacing/>
        <w:rPr>
          <w:rFonts w:ascii="Lato-Regular" w:hAnsi="Lato-Regular"/>
          <w:sz w:val="14"/>
          <w:szCs w:val="14"/>
        </w:rPr>
      </w:pPr>
      <w:proofErr w:type="spellStart"/>
      <w:proofErr w:type="gramStart"/>
      <w:r w:rsidRPr="00266C07">
        <w:rPr>
          <w:rFonts w:ascii="Lato-Regular" w:hAnsi="Lato-Regular"/>
          <w:sz w:val="14"/>
          <w:szCs w:val="14"/>
        </w:rPr>
        <w:t>Katić</w:t>
      </w:r>
      <w:proofErr w:type="spellEnd"/>
      <w:r w:rsidRPr="00266C07">
        <w:rPr>
          <w:rFonts w:ascii="Lato-Regular" w:hAnsi="Lato-Regular"/>
          <w:sz w:val="14"/>
          <w:szCs w:val="14"/>
        </w:rPr>
        <w:t xml:space="preserve">, R., </w:t>
      </w:r>
      <w:proofErr w:type="spellStart"/>
      <w:r w:rsidRPr="00266C07">
        <w:rPr>
          <w:rFonts w:ascii="Lato-Regular" w:hAnsi="Lato-Regular"/>
          <w:sz w:val="14"/>
          <w:szCs w:val="14"/>
        </w:rPr>
        <w:t>Milat</w:t>
      </w:r>
      <w:proofErr w:type="spellEnd"/>
      <w:r w:rsidRPr="00266C07">
        <w:rPr>
          <w:rFonts w:ascii="Lato-Regular" w:hAnsi="Lato-Regular"/>
          <w:sz w:val="14"/>
          <w:szCs w:val="14"/>
        </w:rPr>
        <w:t xml:space="preserve">, S., </w:t>
      </w:r>
      <w:proofErr w:type="spellStart"/>
      <w:r w:rsidRPr="00266C07">
        <w:rPr>
          <w:rFonts w:ascii="Lato-Regular" w:hAnsi="Lato-Regular"/>
          <w:sz w:val="14"/>
          <w:szCs w:val="14"/>
        </w:rPr>
        <w:t>Zagorac</w:t>
      </w:r>
      <w:proofErr w:type="spellEnd"/>
      <w:r w:rsidRPr="00266C07">
        <w:rPr>
          <w:rFonts w:ascii="Lato-Regular" w:hAnsi="Lato-Regular"/>
          <w:sz w:val="14"/>
          <w:szCs w:val="14"/>
        </w:rPr>
        <w:t xml:space="preserve">, N., &amp; </w:t>
      </w:r>
      <w:proofErr w:type="spellStart"/>
      <w:r w:rsidRPr="00266C07">
        <w:rPr>
          <w:rFonts w:ascii="Lato-Regular" w:hAnsi="Lato-Regular"/>
          <w:sz w:val="14"/>
          <w:szCs w:val="14"/>
        </w:rPr>
        <w:t>DJurović</w:t>
      </w:r>
      <w:proofErr w:type="spellEnd"/>
      <w:r w:rsidRPr="00266C07">
        <w:rPr>
          <w:rFonts w:ascii="Lato-Regular" w:hAnsi="Lato-Regular"/>
          <w:sz w:val="14"/>
          <w:szCs w:val="14"/>
        </w:rPr>
        <w:t>, N. (2011).</w:t>
      </w:r>
      <w:proofErr w:type="gramEnd"/>
      <w:r w:rsidRPr="00266C07">
        <w:rPr>
          <w:rFonts w:ascii="Lato-Regular" w:hAnsi="Lato-Regular"/>
          <w:sz w:val="14"/>
          <w:szCs w:val="14"/>
        </w:rPr>
        <w:t xml:space="preserve"> Impact of game </w:t>
      </w:r>
    </w:p>
    <w:p w14:paraId="796A8E7F" w14:textId="77777777" w:rsidR="004E419F" w:rsidRPr="00266C07" w:rsidRDefault="004E419F" w:rsidP="004E419F">
      <w:pPr>
        <w:ind w:left="288"/>
        <w:contextualSpacing/>
        <w:rPr>
          <w:rFonts w:ascii="Lato-Regular" w:hAnsi="Lato-Regular"/>
          <w:sz w:val="14"/>
          <w:szCs w:val="14"/>
        </w:rPr>
      </w:pPr>
      <w:proofErr w:type="gramStart"/>
      <w:r w:rsidRPr="00266C07">
        <w:rPr>
          <w:rFonts w:ascii="Lato-Regular" w:hAnsi="Lato-Regular"/>
          <w:sz w:val="14"/>
          <w:szCs w:val="14"/>
        </w:rPr>
        <w:t>elements</w:t>
      </w:r>
      <w:proofErr w:type="gramEnd"/>
      <w:r w:rsidRPr="00266C07">
        <w:rPr>
          <w:rFonts w:ascii="Lato-Regular" w:hAnsi="Lato-Regular"/>
          <w:sz w:val="14"/>
          <w:szCs w:val="14"/>
        </w:rPr>
        <w:t xml:space="preserve"> on tennis match outcome in Wimbledon and Roland </w:t>
      </w:r>
      <w:proofErr w:type="spellStart"/>
      <w:r w:rsidRPr="00266C07">
        <w:rPr>
          <w:rFonts w:ascii="Lato-Regular" w:hAnsi="Lato-Regular"/>
          <w:sz w:val="14"/>
          <w:szCs w:val="14"/>
        </w:rPr>
        <w:t>Garros</w:t>
      </w:r>
      <w:proofErr w:type="spellEnd"/>
      <w:r w:rsidRPr="00266C07">
        <w:rPr>
          <w:rFonts w:ascii="Lato-Regular" w:hAnsi="Lato-Regular"/>
          <w:sz w:val="14"/>
          <w:szCs w:val="14"/>
        </w:rPr>
        <w:t xml:space="preserve"> 2009. Collegium </w:t>
      </w:r>
      <w:proofErr w:type="spellStart"/>
      <w:r w:rsidRPr="00266C07">
        <w:rPr>
          <w:rFonts w:ascii="Lato-Regular" w:hAnsi="Lato-Regular"/>
          <w:sz w:val="14"/>
          <w:szCs w:val="14"/>
        </w:rPr>
        <w:t>Antropologicum</w:t>
      </w:r>
      <w:proofErr w:type="spellEnd"/>
      <w:r w:rsidRPr="00266C07">
        <w:rPr>
          <w:rFonts w:ascii="Lato-Regular" w:hAnsi="Lato-Regular"/>
          <w:sz w:val="14"/>
          <w:szCs w:val="14"/>
        </w:rPr>
        <w:t>, 35(2), 341–346.</w:t>
      </w:r>
    </w:p>
    <w:p w14:paraId="07E98910" w14:textId="77777777" w:rsidR="004E419F" w:rsidRDefault="004E419F" w:rsidP="004E419F">
      <w:pPr>
        <w:contextualSpacing/>
        <w:rPr>
          <w:rFonts w:ascii="Lato-Regular" w:hAnsi="Lato-Regular"/>
          <w:sz w:val="14"/>
          <w:szCs w:val="14"/>
        </w:rPr>
      </w:pPr>
      <w:proofErr w:type="spellStart"/>
      <w:proofErr w:type="gramStart"/>
      <w:r w:rsidRPr="00266C07">
        <w:rPr>
          <w:rFonts w:ascii="Lato-Regular" w:hAnsi="Lato-Regular"/>
          <w:sz w:val="14"/>
          <w:szCs w:val="14"/>
        </w:rPr>
        <w:t>Mesagno</w:t>
      </w:r>
      <w:proofErr w:type="spellEnd"/>
      <w:r w:rsidRPr="00266C07">
        <w:rPr>
          <w:rFonts w:ascii="Lato-Regular" w:hAnsi="Lato-Regular"/>
          <w:sz w:val="14"/>
          <w:szCs w:val="14"/>
        </w:rPr>
        <w:t xml:space="preserve">, C., </w:t>
      </w:r>
      <w:proofErr w:type="spellStart"/>
      <w:r w:rsidRPr="00266C07">
        <w:rPr>
          <w:rFonts w:ascii="Lato-Regular" w:hAnsi="Lato-Regular"/>
          <w:sz w:val="14"/>
          <w:szCs w:val="14"/>
        </w:rPr>
        <w:t>Geukes</w:t>
      </w:r>
      <w:proofErr w:type="spellEnd"/>
      <w:r w:rsidRPr="00266C07">
        <w:rPr>
          <w:rFonts w:ascii="Lato-Regular" w:hAnsi="Lato-Regular"/>
          <w:sz w:val="14"/>
          <w:szCs w:val="14"/>
        </w:rPr>
        <w:t>, K., &amp; Larkin, P. (2015).</w:t>
      </w:r>
      <w:proofErr w:type="gramEnd"/>
      <w:r w:rsidRPr="00266C07">
        <w:rPr>
          <w:rFonts w:ascii="Lato-Regular" w:hAnsi="Lato-Regular"/>
          <w:sz w:val="14"/>
          <w:szCs w:val="14"/>
        </w:rPr>
        <w:t xml:space="preserve"> Choking under pressure: </w:t>
      </w:r>
    </w:p>
    <w:p w14:paraId="253BE615" w14:textId="77777777" w:rsidR="004E419F" w:rsidRDefault="004E419F" w:rsidP="004E419F">
      <w:pPr>
        <w:ind w:left="284"/>
        <w:contextualSpacing/>
        <w:rPr>
          <w:rFonts w:ascii="Lato-Regular" w:hAnsi="Lato-Regular"/>
          <w:sz w:val="14"/>
          <w:szCs w:val="14"/>
        </w:rPr>
      </w:pPr>
      <w:proofErr w:type="gramStart"/>
      <w:r w:rsidRPr="00266C07">
        <w:rPr>
          <w:rFonts w:ascii="Lato-Regular" w:hAnsi="Lato-Regular"/>
          <w:sz w:val="14"/>
          <w:szCs w:val="14"/>
        </w:rPr>
        <w:t>A review</w:t>
      </w:r>
      <w:r>
        <w:rPr>
          <w:rFonts w:ascii="Lato-Regular" w:hAnsi="Lato-Regular"/>
          <w:sz w:val="14"/>
          <w:szCs w:val="14"/>
        </w:rPr>
        <w:t xml:space="preserve"> </w:t>
      </w:r>
      <w:r w:rsidRPr="00266C07">
        <w:rPr>
          <w:rFonts w:ascii="Lato-Regular" w:hAnsi="Lato-Regular"/>
          <w:sz w:val="14"/>
          <w:szCs w:val="14"/>
        </w:rPr>
        <w:t>of current debates, literature, and interventions.</w:t>
      </w:r>
      <w:proofErr w:type="gramEnd"/>
      <w:r w:rsidRPr="00266C07">
        <w:rPr>
          <w:rFonts w:ascii="Lato-Regular" w:hAnsi="Lato-Regular"/>
          <w:sz w:val="14"/>
          <w:szCs w:val="14"/>
        </w:rPr>
        <w:t xml:space="preserve"> In S. D. </w:t>
      </w:r>
      <w:proofErr w:type="spellStart"/>
      <w:r w:rsidRPr="00266C07">
        <w:rPr>
          <w:rFonts w:ascii="Lato-Regular" w:hAnsi="Lato-Regular"/>
          <w:sz w:val="14"/>
          <w:szCs w:val="14"/>
        </w:rPr>
        <w:t>Mellalieu</w:t>
      </w:r>
      <w:proofErr w:type="spellEnd"/>
      <w:r w:rsidRPr="00266C07">
        <w:rPr>
          <w:rFonts w:ascii="Lato-Regular" w:hAnsi="Lato-Regular"/>
          <w:sz w:val="14"/>
          <w:szCs w:val="14"/>
        </w:rPr>
        <w:t xml:space="preserve"> y S. </w:t>
      </w:r>
      <w:proofErr w:type="spellStart"/>
      <w:r w:rsidRPr="00266C07">
        <w:rPr>
          <w:rFonts w:ascii="Lato-Regular" w:hAnsi="Lato-Regular"/>
          <w:sz w:val="14"/>
          <w:szCs w:val="14"/>
        </w:rPr>
        <w:t>Hanton</w:t>
      </w:r>
      <w:proofErr w:type="spellEnd"/>
      <w:r w:rsidRPr="00266C07">
        <w:rPr>
          <w:rFonts w:ascii="Lato-Regular" w:hAnsi="Lato-Regular"/>
          <w:sz w:val="14"/>
          <w:szCs w:val="14"/>
        </w:rPr>
        <w:t xml:space="preserve"> (Eds.), Contemporary advances in sport psychology: A review New York: </w:t>
      </w:r>
      <w:proofErr w:type="spellStart"/>
      <w:r w:rsidRPr="00266C07">
        <w:rPr>
          <w:rFonts w:ascii="Lato-Regular" w:hAnsi="Lato-Regular"/>
          <w:sz w:val="14"/>
          <w:szCs w:val="14"/>
        </w:rPr>
        <w:t>Routledge</w:t>
      </w:r>
      <w:proofErr w:type="spellEnd"/>
      <w:r w:rsidRPr="00266C07">
        <w:rPr>
          <w:rFonts w:ascii="Lato-Regular" w:hAnsi="Lato-Regular"/>
          <w:sz w:val="14"/>
          <w:szCs w:val="14"/>
        </w:rPr>
        <w:t>.</w:t>
      </w:r>
      <w:r>
        <w:rPr>
          <w:rFonts w:ascii="Lato-Regular" w:hAnsi="Lato-Regular"/>
          <w:sz w:val="14"/>
          <w:szCs w:val="14"/>
        </w:rPr>
        <w:t xml:space="preserve"> </w:t>
      </w:r>
    </w:p>
    <w:p w14:paraId="05F6811C" w14:textId="77777777" w:rsidR="004E419F" w:rsidRDefault="004E419F" w:rsidP="004E419F">
      <w:pPr>
        <w:contextualSpacing/>
        <w:rPr>
          <w:rFonts w:ascii="Lato-Regular" w:hAnsi="Lato-Regular"/>
          <w:sz w:val="14"/>
          <w:szCs w:val="14"/>
        </w:rPr>
      </w:pPr>
      <w:proofErr w:type="spellStart"/>
      <w:r w:rsidRPr="00266C07">
        <w:rPr>
          <w:rFonts w:ascii="Lato-Regular" w:hAnsi="Lato-Regular"/>
          <w:sz w:val="14"/>
          <w:szCs w:val="14"/>
        </w:rPr>
        <w:t>Quereda</w:t>
      </w:r>
      <w:proofErr w:type="spellEnd"/>
      <w:r w:rsidRPr="00266C07">
        <w:rPr>
          <w:rFonts w:ascii="Lato-Regular" w:hAnsi="Lato-Regular"/>
          <w:sz w:val="14"/>
          <w:szCs w:val="14"/>
        </w:rPr>
        <w:t xml:space="preserve">-Sánchez, I., </w:t>
      </w:r>
      <w:proofErr w:type="spellStart"/>
      <w:r w:rsidRPr="00266C07">
        <w:rPr>
          <w:rFonts w:ascii="Lato-Regular" w:hAnsi="Lato-Regular"/>
          <w:sz w:val="14"/>
          <w:szCs w:val="14"/>
        </w:rPr>
        <w:t>Courel</w:t>
      </w:r>
      <w:proofErr w:type="spellEnd"/>
      <w:r w:rsidRPr="00266C07">
        <w:rPr>
          <w:rFonts w:ascii="Lato-Regular" w:hAnsi="Lato-Regular"/>
          <w:sz w:val="14"/>
          <w:szCs w:val="14"/>
        </w:rPr>
        <w:t>-Ibáñez, J., Sánchez-Pay, A., Alfonso-</w:t>
      </w:r>
    </w:p>
    <w:p w14:paraId="5CC3BB9A" w14:textId="77777777" w:rsidR="004E419F" w:rsidRPr="00266C07" w:rsidRDefault="004E419F" w:rsidP="004E419F">
      <w:pPr>
        <w:ind w:left="284"/>
        <w:contextualSpacing/>
        <w:rPr>
          <w:rFonts w:ascii="Lato-Regular" w:hAnsi="Lato-Regular"/>
          <w:sz w:val="14"/>
          <w:szCs w:val="14"/>
        </w:rPr>
      </w:pPr>
      <w:proofErr w:type="spellStart"/>
      <w:proofErr w:type="gramStart"/>
      <w:r w:rsidRPr="00266C07">
        <w:rPr>
          <w:rFonts w:ascii="Lato-Regular" w:hAnsi="Lato-Regular"/>
          <w:sz w:val="14"/>
          <w:szCs w:val="14"/>
        </w:rPr>
        <w:t>Asencio</w:t>
      </w:r>
      <w:proofErr w:type="spellEnd"/>
      <w:r w:rsidRPr="00266C07">
        <w:rPr>
          <w:rFonts w:ascii="Lato-Regular" w:hAnsi="Lato-Regular"/>
          <w:sz w:val="14"/>
          <w:szCs w:val="14"/>
        </w:rPr>
        <w:t>, M., &amp; Sánchez-</w:t>
      </w:r>
      <w:proofErr w:type="spellStart"/>
      <w:r w:rsidRPr="00266C07">
        <w:rPr>
          <w:rFonts w:ascii="Lato-Regular" w:hAnsi="Lato-Regular"/>
          <w:sz w:val="14"/>
          <w:szCs w:val="14"/>
        </w:rPr>
        <w:t>Alcaraz</w:t>
      </w:r>
      <w:proofErr w:type="spellEnd"/>
      <w:r w:rsidRPr="00266C07">
        <w:rPr>
          <w:rFonts w:ascii="Lato-Regular" w:hAnsi="Lato-Regular"/>
          <w:sz w:val="14"/>
          <w:szCs w:val="14"/>
        </w:rPr>
        <w:t>, B.J. (2020).</w:t>
      </w:r>
      <w:proofErr w:type="gramEnd"/>
      <w:r w:rsidRPr="00266C07">
        <w:rPr>
          <w:rFonts w:ascii="Lato-Regular" w:hAnsi="Lato-Regular"/>
          <w:sz w:val="14"/>
          <w:szCs w:val="14"/>
        </w:rPr>
        <w:t xml:space="preserve"> </w:t>
      </w:r>
      <w:proofErr w:type="spellStart"/>
      <w:r w:rsidRPr="00266C07">
        <w:rPr>
          <w:rFonts w:ascii="Lato-Regular" w:hAnsi="Lato-Regular"/>
          <w:sz w:val="14"/>
          <w:szCs w:val="14"/>
        </w:rPr>
        <w:t>Diferencias</w:t>
      </w:r>
      <w:proofErr w:type="spellEnd"/>
      <w:r w:rsidRPr="00266C07">
        <w:rPr>
          <w:rFonts w:ascii="Lato-Regular" w:hAnsi="Lato-Regular"/>
          <w:sz w:val="14"/>
          <w:szCs w:val="14"/>
        </w:rPr>
        <w:t xml:space="preserve"> en </w:t>
      </w:r>
      <w:proofErr w:type="spellStart"/>
      <w:r w:rsidRPr="00266C07">
        <w:rPr>
          <w:rFonts w:ascii="Lato-Regular" w:hAnsi="Lato-Regular"/>
          <w:sz w:val="14"/>
          <w:szCs w:val="14"/>
        </w:rPr>
        <w:t>las</w:t>
      </w:r>
      <w:proofErr w:type="spellEnd"/>
      <w:r w:rsidRPr="00266C07">
        <w:rPr>
          <w:rFonts w:ascii="Lato-Regular" w:hAnsi="Lato-Regular"/>
          <w:sz w:val="14"/>
          <w:szCs w:val="14"/>
        </w:rPr>
        <w:t xml:space="preserve"> </w:t>
      </w:r>
      <w:proofErr w:type="spellStart"/>
      <w:r w:rsidRPr="00266C07">
        <w:rPr>
          <w:rFonts w:ascii="Lato-Regular" w:hAnsi="Lato-Regular"/>
          <w:sz w:val="14"/>
          <w:szCs w:val="14"/>
        </w:rPr>
        <w:t>estadísticas</w:t>
      </w:r>
      <w:proofErr w:type="spellEnd"/>
      <w:r w:rsidRPr="00266C07">
        <w:rPr>
          <w:rFonts w:ascii="Lato-Regular" w:hAnsi="Lato-Regular"/>
          <w:sz w:val="14"/>
          <w:szCs w:val="14"/>
        </w:rPr>
        <w:t xml:space="preserve"> de </w:t>
      </w:r>
      <w:proofErr w:type="spellStart"/>
      <w:r w:rsidRPr="00266C07">
        <w:rPr>
          <w:rFonts w:ascii="Lato-Regular" w:hAnsi="Lato-Regular"/>
          <w:sz w:val="14"/>
          <w:szCs w:val="14"/>
        </w:rPr>
        <w:t>competición</w:t>
      </w:r>
      <w:proofErr w:type="spellEnd"/>
      <w:r w:rsidRPr="00266C07">
        <w:rPr>
          <w:rFonts w:ascii="Lato-Regular" w:hAnsi="Lato-Regular"/>
          <w:sz w:val="14"/>
          <w:szCs w:val="14"/>
        </w:rPr>
        <w:t xml:space="preserve"> en </w:t>
      </w:r>
      <w:proofErr w:type="spellStart"/>
      <w:r w:rsidRPr="00266C07">
        <w:rPr>
          <w:rFonts w:ascii="Lato-Regular" w:hAnsi="Lato-Regular"/>
          <w:sz w:val="14"/>
          <w:szCs w:val="14"/>
        </w:rPr>
        <w:t>tenis</w:t>
      </w:r>
      <w:proofErr w:type="spellEnd"/>
      <w:r w:rsidRPr="00266C07">
        <w:rPr>
          <w:rFonts w:ascii="Lato-Regular" w:hAnsi="Lato-Regular"/>
          <w:sz w:val="14"/>
          <w:szCs w:val="14"/>
        </w:rPr>
        <w:t xml:space="preserve"> en el </w:t>
      </w:r>
      <w:proofErr w:type="spellStart"/>
      <w:r w:rsidRPr="00266C07">
        <w:rPr>
          <w:rFonts w:ascii="Lato-Regular" w:hAnsi="Lato-Regular"/>
          <w:sz w:val="14"/>
          <w:szCs w:val="14"/>
        </w:rPr>
        <w:t>Abierto</w:t>
      </w:r>
      <w:proofErr w:type="spellEnd"/>
      <w:r w:rsidRPr="00266C07">
        <w:rPr>
          <w:rFonts w:ascii="Lato-Regular" w:hAnsi="Lato-Regular"/>
          <w:sz w:val="14"/>
          <w:szCs w:val="14"/>
        </w:rPr>
        <w:t xml:space="preserve"> de Australia 2019 en </w:t>
      </w:r>
      <w:proofErr w:type="spellStart"/>
      <w:r w:rsidRPr="00266C07">
        <w:rPr>
          <w:rFonts w:ascii="Lato-Regular" w:hAnsi="Lato-Regular"/>
          <w:sz w:val="14"/>
          <w:szCs w:val="14"/>
        </w:rPr>
        <w:t>función</w:t>
      </w:r>
      <w:proofErr w:type="spellEnd"/>
      <w:r w:rsidRPr="00266C07">
        <w:rPr>
          <w:rFonts w:ascii="Lato-Regular" w:hAnsi="Lato-Regular"/>
          <w:sz w:val="14"/>
          <w:szCs w:val="14"/>
        </w:rPr>
        <w:t xml:space="preserve"> </w:t>
      </w:r>
      <w:proofErr w:type="gramStart"/>
      <w:r w:rsidRPr="00266C07">
        <w:rPr>
          <w:rFonts w:ascii="Lato-Regular" w:hAnsi="Lato-Regular"/>
          <w:sz w:val="14"/>
          <w:szCs w:val="14"/>
        </w:rPr>
        <w:t>del</w:t>
      </w:r>
      <w:proofErr w:type="gramEnd"/>
      <w:r w:rsidRPr="00266C07">
        <w:rPr>
          <w:rFonts w:ascii="Lato-Regular" w:hAnsi="Lato-Regular"/>
          <w:sz w:val="14"/>
          <w:szCs w:val="14"/>
        </w:rPr>
        <w:t xml:space="preserve"> </w:t>
      </w:r>
      <w:proofErr w:type="spellStart"/>
      <w:r w:rsidRPr="00266C07">
        <w:rPr>
          <w:rFonts w:ascii="Lato-Regular" w:hAnsi="Lato-Regular"/>
          <w:sz w:val="14"/>
          <w:szCs w:val="14"/>
        </w:rPr>
        <w:t>género</w:t>
      </w:r>
      <w:proofErr w:type="spellEnd"/>
      <w:r w:rsidRPr="00266C07">
        <w:rPr>
          <w:rFonts w:ascii="Lato-Regular" w:hAnsi="Lato-Regular"/>
          <w:sz w:val="14"/>
          <w:szCs w:val="14"/>
        </w:rPr>
        <w:t xml:space="preserve"> y del </w:t>
      </w:r>
      <w:proofErr w:type="spellStart"/>
      <w:r w:rsidRPr="00266C07">
        <w:rPr>
          <w:rFonts w:ascii="Lato-Regular" w:hAnsi="Lato-Regular"/>
          <w:sz w:val="14"/>
          <w:szCs w:val="14"/>
        </w:rPr>
        <w:t>resultado</w:t>
      </w:r>
      <w:proofErr w:type="spellEnd"/>
      <w:r w:rsidRPr="00266C07">
        <w:rPr>
          <w:rFonts w:ascii="Lato-Regular" w:hAnsi="Lato-Regular"/>
          <w:sz w:val="14"/>
          <w:szCs w:val="14"/>
        </w:rPr>
        <w:t xml:space="preserve"> del </w:t>
      </w:r>
      <w:proofErr w:type="spellStart"/>
      <w:r w:rsidRPr="00266C07">
        <w:rPr>
          <w:rFonts w:ascii="Lato-Regular" w:hAnsi="Lato-Regular"/>
          <w:sz w:val="14"/>
          <w:szCs w:val="14"/>
        </w:rPr>
        <w:t>partido</w:t>
      </w:r>
      <w:proofErr w:type="spellEnd"/>
      <w:r w:rsidRPr="00266C07">
        <w:rPr>
          <w:rFonts w:ascii="Lato-Regular" w:hAnsi="Lato-Regular"/>
          <w:sz w:val="14"/>
          <w:szCs w:val="14"/>
        </w:rPr>
        <w:t xml:space="preserve">. </w:t>
      </w:r>
      <w:proofErr w:type="spellStart"/>
      <w:r w:rsidRPr="00266C07">
        <w:rPr>
          <w:rFonts w:ascii="Lato-Regular" w:hAnsi="Lato-Regular"/>
          <w:sz w:val="14"/>
          <w:szCs w:val="14"/>
        </w:rPr>
        <w:t>Acción</w:t>
      </w:r>
      <w:proofErr w:type="spellEnd"/>
      <w:r w:rsidRPr="00266C07">
        <w:rPr>
          <w:rFonts w:ascii="Lato-Regular" w:hAnsi="Lato-Regular"/>
          <w:sz w:val="14"/>
          <w:szCs w:val="14"/>
        </w:rPr>
        <w:t xml:space="preserve"> </w:t>
      </w:r>
      <w:proofErr w:type="spellStart"/>
      <w:r w:rsidRPr="00266C07">
        <w:rPr>
          <w:rFonts w:ascii="Lato-Regular" w:hAnsi="Lato-Regular"/>
          <w:sz w:val="14"/>
          <w:szCs w:val="14"/>
        </w:rPr>
        <w:t>Motriz</w:t>
      </w:r>
      <w:proofErr w:type="spellEnd"/>
      <w:r w:rsidRPr="00266C07">
        <w:rPr>
          <w:rFonts w:ascii="Lato-Regular" w:hAnsi="Lato-Regular"/>
          <w:sz w:val="14"/>
          <w:szCs w:val="14"/>
        </w:rPr>
        <w:t>, 24, 29-35.</w:t>
      </w:r>
    </w:p>
    <w:p w14:paraId="5C00F822" w14:textId="77777777" w:rsidR="004E419F" w:rsidRDefault="004E419F" w:rsidP="004E419F">
      <w:pPr>
        <w:spacing w:after="0"/>
        <w:rPr>
          <w:rStyle w:val="Hyperlink"/>
          <w:rFonts w:ascii="Lato-Regular" w:hAnsi="Lato-Regular"/>
          <w:sz w:val="14"/>
          <w:szCs w:val="14"/>
        </w:rPr>
      </w:pPr>
    </w:p>
    <w:p w14:paraId="58794BB0" w14:textId="77777777" w:rsidR="004E419F" w:rsidRDefault="004E419F" w:rsidP="004E419F">
      <w:pPr>
        <w:spacing w:after="0"/>
        <w:rPr>
          <w:rStyle w:val="Hyperlink"/>
          <w:rFonts w:ascii="Lato-Regular" w:hAnsi="Lato-Regular"/>
          <w:sz w:val="14"/>
          <w:szCs w:val="14"/>
        </w:rPr>
      </w:pPr>
      <w:bookmarkStart w:id="0" w:name="_GoBack"/>
      <w:bookmarkEnd w:id="0"/>
    </w:p>
    <w:p w14:paraId="405988D0" w14:textId="77777777" w:rsidR="004E419F" w:rsidRDefault="004E419F" w:rsidP="004E419F">
      <w:pPr>
        <w:spacing w:after="0"/>
        <w:rPr>
          <w:rStyle w:val="Hyperlink"/>
          <w:rFonts w:ascii="Lato-Regular" w:hAnsi="Lato-Regular"/>
          <w:sz w:val="14"/>
          <w:szCs w:val="14"/>
        </w:rPr>
      </w:pPr>
    </w:p>
    <w:p w14:paraId="16DE45C9" w14:textId="77777777" w:rsidR="004E419F" w:rsidRDefault="004E419F" w:rsidP="004E419F">
      <w:pPr>
        <w:spacing w:after="0"/>
        <w:ind w:left="284"/>
        <w:rPr>
          <w:rFonts w:ascii="Lato-Regular" w:hAnsi="Lato-Regular"/>
          <w:color w:val="000000"/>
          <w:sz w:val="14"/>
          <w:szCs w:val="14"/>
        </w:rPr>
      </w:pPr>
      <w:r>
        <w:rPr>
          <w:noProof/>
        </w:rPr>
        <w:drawing>
          <wp:inline distT="0" distB="0" distL="0" distR="0" wp14:anchorId="3B3A5F35" wp14:editId="49633E0F">
            <wp:extent cx="2743200" cy="645016"/>
            <wp:effectExtent l="0" t="0" r="0" b="3175"/>
            <wp:docPr id="40" name="Picture 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645016"/>
                    </a:xfrm>
                    <a:prstGeom prst="rect">
                      <a:avLst/>
                    </a:prstGeom>
                    <a:noFill/>
                    <a:ln>
                      <a:noFill/>
                    </a:ln>
                  </pic:spPr>
                </pic:pic>
              </a:graphicData>
            </a:graphic>
          </wp:inline>
        </w:drawing>
      </w:r>
    </w:p>
    <w:p w14:paraId="6827ED89" w14:textId="77777777" w:rsidR="004E419F" w:rsidRDefault="004E419F" w:rsidP="004E419F">
      <w:pPr>
        <w:spacing w:line="480" w:lineRule="auto"/>
        <w:jc w:val="center"/>
        <w:rPr>
          <w:rFonts w:ascii="Lato" w:hAnsi="Lato"/>
          <w:spacing w:val="-1"/>
          <w:sz w:val="12"/>
          <w:szCs w:val="12"/>
          <w:lang w:val="es-US"/>
        </w:rPr>
      </w:pPr>
    </w:p>
    <w:p w14:paraId="5ED07F7A" w14:textId="77777777" w:rsidR="004E419F" w:rsidRPr="00FD15F2" w:rsidRDefault="004E419F" w:rsidP="004E419F">
      <w:pPr>
        <w:spacing w:line="480" w:lineRule="auto"/>
        <w:jc w:val="center"/>
        <w:rPr>
          <w:rFonts w:ascii="Lato" w:hAnsi="Lato"/>
          <w:spacing w:val="-1"/>
          <w:sz w:val="12"/>
          <w:szCs w:val="12"/>
          <w:vertAlign w:val="superscript"/>
        </w:rPr>
      </w:pPr>
      <w:proofErr w:type="spellStart"/>
      <w:r w:rsidRPr="00F66197">
        <w:rPr>
          <w:rFonts w:ascii="Lato" w:hAnsi="Lato"/>
          <w:spacing w:val="-1"/>
          <w:sz w:val="12"/>
          <w:szCs w:val="12"/>
          <w:lang w:val="es-US"/>
        </w:rPr>
        <w:t>Droits</w:t>
      </w:r>
      <w:proofErr w:type="spellEnd"/>
      <w:r w:rsidRPr="00F66197">
        <w:rPr>
          <w:rFonts w:ascii="Lato" w:hAnsi="Lato"/>
          <w:spacing w:val="-1"/>
          <w:sz w:val="12"/>
          <w:szCs w:val="12"/>
          <w:lang w:val="es-US"/>
        </w:rPr>
        <w:t xml:space="preserve"> </w:t>
      </w:r>
      <w:proofErr w:type="spellStart"/>
      <w:r w:rsidRPr="00F66197">
        <w:rPr>
          <w:rFonts w:ascii="Lato" w:hAnsi="Lato"/>
          <w:spacing w:val="-1"/>
          <w:sz w:val="12"/>
          <w:szCs w:val="12"/>
          <w:lang w:val="es-US"/>
        </w:rPr>
        <w:t>d'auteur</w:t>
      </w:r>
      <w:proofErr w:type="spellEnd"/>
      <w:r w:rsidRPr="00F66197">
        <w:rPr>
          <w:rFonts w:ascii="Lato" w:hAnsi="Lato"/>
          <w:spacing w:val="-1"/>
          <w:sz w:val="12"/>
          <w:szCs w:val="12"/>
          <w:lang w:val="es-US"/>
        </w:rPr>
        <w:t xml:space="preserve"> </w:t>
      </w:r>
      <w:r>
        <w:rPr>
          <w:rFonts w:ascii="Lato" w:hAnsi="Lato"/>
          <w:spacing w:val="-1"/>
          <w:sz w:val="12"/>
          <w:szCs w:val="12"/>
          <w:lang w:val="es-US"/>
        </w:rPr>
        <w:t xml:space="preserve">(c) 2020  </w:t>
      </w:r>
      <w:r>
        <w:rPr>
          <w:rFonts w:ascii="Lato" w:hAnsi="Lato"/>
          <w:spacing w:val="-1"/>
          <w:sz w:val="12"/>
          <w:szCs w:val="12"/>
          <w:lang w:val="es-ES"/>
        </w:rPr>
        <w:t>Alejandro Sánchez-</w:t>
      </w:r>
      <w:proofErr w:type="spellStart"/>
      <w:r>
        <w:rPr>
          <w:rFonts w:ascii="Lato" w:hAnsi="Lato"/>
          <w:spacing w:val="-1"/>
          <w:sz w:val="12"/>
          <w:szCs w:val="12"/>
          <w:lang w:val="es-ES"/>
        </w:rPr>
        <w:t>Pay</w:t>
      </w:r>
      <w:proofErr w:type="spellEnd"/>
      <w:r w:rsidRPr="005A7591">
        <w:rPr>
          <w:rFonts w:ascii="Lato" w:hAnsi="Lato"/>
          <w:spacing w:val="-1"/>
          <w:sz w:val="12"/>
          <w:szCs w:val="12"/>
          <w:lang w:val="es-ES"/>
        </w:rPr>
        <w:t>, José Julián Navarro-Cuenca, &amp; Bernardino J. Sánchez- Alcaraz</w:t>
      </w:r>
      <w:r w:rsidRPr="005A7591">
        <w:rPr>
          <w:rFonts w:ascii="Lato" w:hAnsi="Lato"/>
          <w:spacing w:val="-1"/>
          <w:sz w:val="12"/>
          <w:szCs w:val="12"/>
          <w:vertAlign w:val="superscript"/>
        </w:rPr>
        <w:t xml:space="preserve"> </w:t>
      </w:r>
      <w:r w:rsidRPr="00B34C60">
        <w:rPr>
          <w:rFonts w:ascii="Lato" w:hAnsi="Lato"/>
          <w:noProof/>
          <w:sz w:val="12"/>
          <w:szCs w:val="12"/>
        </w:rPr>
        <mc:AlternateContent>
          <mc:Choice Requires="wpg">
            <w:drawing>
              <wp:anchor distT="4294967295" distB="4294967295" distL="114300" distR="114300" simplePos="0" relativeHeight="251659264" behindDoc="1" locked="0" layoutInCell="1" allowOverlap="1" wp14:anchorId="7F509C10" wp14:editId="5280111D">
                <wp:simplePos x="0" y="0"/>
                <wp:positionH relativeFrom="page">
                  <wp:posOffset>4946650</wp:posOffset>
                </wp:positionH>
                <wp:positionV relativeFrom="paragraph">
                  <wp:posOffset>116204</wp:posOffset>
                </wp:positionV>
                <wp:extent cx="25400" cy="0"/>
                <wp:effectExtent l="0" t="0" r="0"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7790" y="183"/>
                          <a:chExt cx="40" cy="0"/>
                        </a:xfrm>
                      </wpg:grpSpPr>
                      <wps:wsp>
                        <wps:cNvPr id="8" name="Freeform 4"/>
                        <wps:cNvSpPr>
                          <a:spLocks/>
                        </wps:cNvSpPr>
                        <wps:spPr bwMode="auto">
                          <a:xfrm>
                            <a:off x="7790" y="183"/>
                            <a:ext cx="40" cy="0"/>
                          </a:xfrm>
                          <a:custGeom>
                            <a:avLst/>
                            <a:gdLst>
                              <a:gd name="T0" fmla="+- 0 7790 7790"/>
                              <a:gd name="T1" fmla="*/ T0 w 40"/>
                              <a:gd name="T2" fmla="+- 0 7830 7790"/>
                              <a:gd name="T3" fmla="*/ T2 w 40"/>
                            </a:gdLst>
                            <a:ahLst/>
                            <a:cxnLst>
                              <a:cxn ang="0">
                                <a:pos x="T1" y="0"/>
                              </a:cxn>
                              <a:cxn ang="0">
                                <a:pos x="T3" y="0"/>
                              </a:cxn>
                            </a:cxnLst>
                            <a:rect l="0" t="0" r="r" b="b"/>
                            <a:pathLst>
                              <a:path w="40">
                                <a:moveTo>
                                  <a:pt x="0" y="0"/>
                                </a:moveTo>
                                <a:lnTo>
                                  <a:pt x="40" y="0"/>
                                </a:lnTo>
                              </a:path>
                            </a:pathLst>
                          </a:custGeom>
                          <a:noFill/>
                          <a:ln w="6350">
                            <a:solidFill>
                              <a:srgbClr val="0000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89.5pt;margin-top:9.15pt;width:2pt;height:0;z-index:-251657216;mso-wrap-distance-top:-3e-5mm;mso-wrap-distance-bottom:-3e-5mm;mso-position-horizontal-relative:page" coordorigin="7790,183"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">
                <v:shape id="Freeform 4" o:spid="_x0000_s1027" style="position:absolute;left:7790;top:183;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TsLoA&#10;AADaAAAADwAAAGRycy9kb3ducmV2LnhtbERPSwrCMBDdC94hjOBO07oQqUaRgiAIgh9cD83YFJtJ&#10;aVJbb28WgsvH+292g63Fm1pfOVaQzhMQxIXTFZcK7rfDbAXCB2SNtWNS8CEPu+14tMFMu54v9L6G&#10;UsQQ9hkqMCE0mZS+MGTRz11DHLmnay2GCNtS6hb7GG5ruUiSpbRYcWww2FBuqHhdO6sg7y+n86lr&#10;6JEv69RLbcIKjVLTybBfgwg0hL/45z5qBXFrvBJvgN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djTsLoAAADaAAAADwAAAAAAAAAAAAAAAACYAgAAZHJzL2Rvd25yZXYueG1s&#10;UEsFBgAAAAAEAAQA9QAAAH8DAAAAAA==&#10;" path="m,l40,e" filled="f" strokecolor="blue" strokeweight=".5pt">
                  <v:path arrowok="t" o:connecttype="custom" o:connectlocs="0,0;40,0" o:connectangles="0,0"/>
                </v:shape>
                <w10:wrap anchorx="page"/>
              </v:group>
            </w:pict>
          </mc:Fallback>
        </mc:AlternateContent>
      </w:r>
    </w:p>
    <w:p w14:paraId="7FB75BEF" w14:textId="77777777" w:rsidR="004E419F" w:rsidRPr="00B34C60" w:rsidRDefault="004E419F" w:rsidP="004E419F">
      <w:pPr>
        <w:spacing w:line="480" w:lineRule="auto"/>
        <w:jc w:val="center"/>
        <w:rPr>
          <w:rFonts w:ascii="Lato" w:hAnsi="Lato"/>
          <w:sz w:val="12"/>
          <w:szCs w:val="12"/>
        </w:rPr>
      </w:pPr>
      <w:r w:rsidRPr="00B34C60">
        <w:rPr>
          <w:rFonts w:ascii="Lato" w:hAnsi="Lato"/>
          <w:noProof/>
          <w:sz w:val="12"/>
          <w:szCs w:val="12"/>
        </w:rPr>
        <w:drawing>
          <wp:inline distT="0" distB="0" distL="0" distR="0" wp14:anchorId="161D76C1" wp14:editId="03618F34">
            <wp:extent cx="647700" cy="228167"/>
            <wp:effectExtent l="0" t="0" r="0" b="635"/>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594" cy="234471"/>
                    </a:xfrm>
                    <a:prstGeom prst="rect">
                      <a:avLst/>
                    </a:prstGeom>
                    <a:noFill/>
                    <a:ln>
                      <a:noFill/>
                    </a:ln>
                  </pic:spPr>
                </pic:pic>
              </a:graphicData>
            </a:graphic>
          </wp:inline>
        </w:drawing>
      </w:r>
    </w:p>
    <w:p w14:paraId="384EE041" w14:textId="77777777" w:rsidR="004E419F" w:rsidRPr="00F66197" w:rsidRDefault="004E419F" w:rsidP="004E419F">
      <w:pPr>
        <w:spacing w:after="240"/>
        <w:ind w:right="-22"/>
        <w:jc w:val="center"/>
        <w:rPr>
          <w:rFonts w:ascii="Lato" w:hAnsi="Lato"/>
          <w:i/>
          <w:sz w:val="12"/>
          <w:szCs w:val="12"/>
          <w:lang w:val="es-US"/>
        </w:rPr>
      </w:pPr>
      <w:r w:rsidRPr="00F66197">
        <w:rPr>
          <w:rFonts w:ascii="Lato" w:hAnsi="Lato"/>
          <w:sz w:val="12"/>
          <w:szCs w:val="12"/>
          <w:lang w:val="es-US"/>
        </w:rPr>
        <w:t xml:space="preserve">Ce </w:t>
      </w:r>
      <w:proofErr w:type="spellStart"/>
      <w:r w:rsidRPr="00F66197">
        <w:rPr>
          <w:rFonts w:ascii="Lato" w:hAnsi="Lato"/>
          <w:sz w:val="12"/>
          <w:szCs w:val="12"/>
          <w:lang w:val="es-US"/>
        </w:rPr>
        <w:t>texte</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est</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protégé</w:t>
      </w:r>
      <w:proofErr w:type="spellEnd"/>
      <w:r w:rsidRPr="00F66197">
        <w:rPr>
          <w:rFonts w:ascii="Lato" w:hAnsi="Lato"/>
          <w:sz w:val="12"/>
          <w:szCs w:val="12"/>
          <w:lang w:val="es-US"/>
        </w:rPr>
        <w:t xml:space="preserve"> par une </w:t>
      </w:r>
      <w:proofErr w:type="spellStart"/>
      <w:r w:rsidRPr="00F66197">
        <w:rPr>
          <w:rFonts w:ascii="Lato" w:hAnsi="Lato"/>
          <w:sz w:val="12"/>
          <w:szCs w:val="12"/>
          <w:lang w:val="es-US"/>
        </w:rPr>
        <w:t>licence</w:t>
      </w:r>
      <w:proofErr w:type="spellEnd"/>
      <w:r w:rsidRPr="00F66197">
        <w:rPr>
          <w:rFonts w:ascii="Lato" w:hAnsi="Lato"/>
          <w:sz w:val="12"/>
          <w:szCs w:val="12"/>
          <w:lang w:val="es-US"/>
        </w:rPr>
        <w:t xml:space="preserve"> </w:t>
      </w:r>
      <w:hyperlink r:id="rId20" w:history="1">
        <w:proofErr w:type="spellStart"/>
        <w:r w:rsidRPr="00F66197">
          <w:rPr>
            <w:rStyle w:val="Hyperlink"/>
            <w:rFonts w:ascii="Lato" w:hAnsi="Lato"/>
            <w:i/>
            <w:sz w:val="12"/>
            <w:szCs w:val="12"/>
            <w:lang w:val="es-US"/>
          </w:rPr>
          <w:t>Creative</w:t>
        </w:r>
        <w:proofErr w:type="spellEnd"/>
        <w:r w:rsidRPr="00F66197">
          <w:rPr>
            <w:rStyle w:val="Hyperlink"/>
            <w:rFonts w:ascii="Lato" w:hAnsi="Lato"/>
            <w:i/>
            <w:sz w:val="12"/>
            <w:szCs w:val="12"/>
            <w:lang w:val="es-US"/>
          </w:rPr>
          <w:t xml:space="preserve"> </w:t>
        </w:r>
        <w:proofErr w:type="spellStart"/>
        <w:r w:rsidRPr="00F66197">
          <w:rPr>
            <w:rStyle w:val="Hyperlink"/>
            <w:rFonts w:ascii="Lato" w:hAnsi="Lato"/>
            <w:i/>
            <w:sz w:val="12"/>
            <w:szCs w:val="12"/>
            <w:lang w:val="es-US"/>
          </w:rPr>
          <w:t>Commons</w:t>
        </w:r>
        <w:proofErr w:type="spellEnd"/>
        <w:r w:rsidRPr="00F66197">
          <w:rPr>
            <w:rStyle w:val="Hyperlink"/>
            <w:rFonts w:ascii="Lato" w:hAnsi="Lato"/>
            <w:i/>
            <w:sz w:val="12"/>
            <w:szCs w:val="12"/>
            <w:lang w:val="es-US"/>
          </w:rPr>
          <w:t xml:space="preserve"> 4.0</w:t>
        </w:r>
      </w:hyperlink>
    </w:p>
    <w:p w14:paraId="44FDDDFA" w14:textId="77777777" w:rsidR="004E419F" w:rsidRPr="00F66197" w:rsidRDefault="004E419F" w:rsidP="004E419F">
      <w:pPr>
        <w:spacing w:after="240"/>
        <w:ind w:right="-22"/>
        <w:jc w:val="center"/>
        <w:rPr>
          <w:rFonts w:ascii="Lato" w:hAnsi="Lato"/>
          <w:sz w:val="12"/>
          <w:szCs w:val="12"/>
          <w:lang w:val="es-US"/>
        </w:rPr>
      </w:pPr>
      <w:proofErr w:type="spellStart"/>
      <w:r w:rsidRPr="00F66197">
        <w:rPr>
          <w:rFonts w:ascii="Lato" w:hAnsi="Lato"/>
          <w:sz w:val="12"/>
          <w:szCs w:val="12"/>
          <w:lang w:val="es-US"/>
        </w:rPr>
        <w:t>Vous</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êtes</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autorisé</w:t>
      </w:r>
      <w:proofErr w:type="spellEnd"/>
      <w:r w:rsidRPr="00F66197">
        <w:rPr>
          <w:rFonts w:ascii="Lato" w:hAnsi="Lato"/>
          <w:sz w:val="12"/>
          <w:szCs w:val="12"/>
          <w:lang w:val="es-US"/>
        </w:rPr>
        <w:t xml:space="preserve"> à </w:t>
      </w:r>
      <w:proofErr w:type="spellStart"/>
      <w:r w:rsidRPr="00F66197">
        <w:rPr>
          <w:rFonts w:ascii="Lato" w:hAnsi="Lato"/>
          <w:sz w:val="12"/>
          <w:szCs w:val="12"/>
          <w:lang w:val="es-US"/>
        </w:rPr>
        <w:t>Partager</w:t>
      </w:r>
      <w:proofErr w:type="spellEnd"/>
      <w:r w:rsidRPr="00F66197">
        <w:rPr>
          <w:rFonts w:ascii="Lato" w:hAnsi="Lato"/>
          <w:sz w:val="12"/>
          <w:szCs w:val="12"/>
          <w:lang w:val="es-US"/>
        </w:rPr>
        <w:t xml:space="preserve"> — </w:t>
      </w:r>
      <w:proofErr w:type="spellStart"/>
      <w:r w:rsidRPr="00F66197">
        <w:rPr>
          <w:rFonts w:ascii="Lato" w:hAnsi="Lato"/>
          <w:sz w:val="12"/>
          <w:szCs w:val="12"/>
          <w:lang w:val="es-US"/>
        </w:rPr>
        <w:t>copier</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distribuer</w:t>
      </w:r>
      <w:proofErr w:type="spellEnd"/>
      <w:r w:rsidRPr="00F66197">
        <w:rPr>
          <w:rFonts w:ascii="Lato" w:hAnsi="Lato"/>
          <w:sz w:val="12"/>
          <w:szCs w:val="12"/>
          <w:lang w:val="es-US"/>
        </w:rPr>
        <w:t xml:space="preserve"> et </w:t>
      </w:r>
      <w:proofErr w:type="spellStart"/>
      <w:r w:rsidRPr="00F66197">
        <w:rPr>
          <w:rFonts w:ascii="Lato" w:hAnsi="Lato"/>
          <w:sz w:val="12"/>
          <w:szCs w:val="12"/>
          <w:lang w:val="es-US"/>
        </w:rPr>
        <w:t>communiquer</w:t>
      </w:r>
      <w:proofErr w:type="spellEnd"/>
      <w:r w:rsidRPr="00F66197">
        <w:rPr>
          <w:rFonts w:ascii="Lato" w:hAnsi="Lato"/>
          <w:sz w:val="12"/>
          <w:szCs w:val="12"/>
          <w:lang w:val="es-US"/>
        </w:rPr>
        <w:t xml:space="preserve"> le </w:t>
      </w:r>
      <w:proofErr w:type="spellStart"/>
      <w:r w:rsidRPr="00F66197">
        <w:rPr>
          <w:rFonts w:ascii="Lato" w:hAnsi="Lato"/>
          <w:sz w:val="12"/>
          <w:szCs w:val="12"/>
          <w:lang w:val="es-US"/>
        </w:rPr>
        <w:t>matériel</w:t>
      </w:r>
      <w:proofErr w:type="spellEnd"/>
      <w:r w:rsidRPr="00F66197">
        <w:rPr>
          <w:rFonts w:ascii="Lato" w:hAnsi="Lato"/>
          <w:sz w:val="12"/>
          <w:szCs w:val="12"/>
          <w:lang w:val="es-US"/>
        </w:rPr>
        <w:t xml:space="preserve"> par </w:t>
      </w:r>
      <w:proofErr w:type="spellStart"/>
      <w:r w:rsidRPr="00F66197">
        <w:rPr>
          <w:rFonts w:ascii="Lato" w:hAnsi="Lato"/>
          <w:sz w:val="12"/>
          <w:szCs w:val="12"/>
          <w:lang w:val="es-US"/>
        </w:rPr>
        <w:t>tous</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moyens</w:t>
      </w:r>
      <w:proofErr w:type="spellEnd"/>
      <w:r w:rsidRPr="00F66197">
        <w:rPr>
          <w:rFonts w:ascii="Lato" w:hAnsi="Lato"/>
          <w:sz w:val="12"/>
          <w:szCs w:val="12"/>
          <w:lang w:val="es-US"/>
        </w:rPr>
        <w:t xml:space="preserve"> et </w:t>
      </w:r>
      <w:proofErr w:type="spellStart"/>
      <w:r w:rsidRPr="00F66197">
        <w:rPr>
          <w:rFonts w:ascii="Lato" w:hAnsi="Lato"/>
          <w:sz w:val="12"/>
          <w:szCs w:val="12"/>
          <w:lang w:val="es-US"/>
        </w:rPr>
        <w:t>sous</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tous</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formats</w:t>
      </w:r>
      <w:proofErr w:type="spellEnd"/>
      <w:r w:rsidRPr="00F66197">
        <w:rPr>
          <w:rFonts w:ascii="Lato" w:hAnsi="Lato"/>
          <w:sz w:val="12"/>
          <w:szCs w:val="12"/>
          <w:lang w:val="es-US"/>
        </w:rPr>
        <w:t xml:space="preserve"> — et </w:t>
      </w:r>
      <w:proofErr w:type="spellStart"/>
      <w:r w:rsidRPr="00F66197">
        <w:rPr>
          <w:rFonts w:ascii="Lato" w:hAnsi="Lato"/>
          <w:sz w:val="12"/>
          <w:szCs w:val="12"/>
          <w:lang w:val="es-US"/>
        </w:rPr>
        <w:t>Adapter</w:t>
      </w:r>
      <w:proofErr w:type="spellEnd"/>
      <w:r w:rsidRPr="00F66197">
        <w:rPr>
          <w:rFonts w:ascii="Lato" w:hAnsi="Lato"/>
          <w:sz w:val="12"/>
          <w:szCs w:val="12"/>
          <w:lang w:val="es-US"/>
        </w:rPr>
        <w:t xml:space="preserve"> le </w:t>
      </w:r>
      <w:proofErr w:type="spellStart"/>
      <w:r w:rsidRPr="00F66197">
        <w:rPr>
          <w:rFonts w:ascii="Lato" w:hAnsi="Lato"/>
          <w:sz w:val="12"/>
          <w:szCs w:val="12"/>
          <w:lang w:val="es-US"/>
        </w:rPr>
        <w:t>document</w:t>
      </w:r>
      <w:proofErr w:type="spellEnd"/>
      <w:r w:rsidRPr="00F66197">
        <w:rPr>
          <w:rFonts w:ascii="Lato" w:hAnsi="Lato"/>
          <w:sz w:val="12"/>
          <w:szCs w:val="12"/>
          <w:lang w:val="es-US"/>
        </w:rPr>
        <w:t xml:space="preserve"> — </w:t>
      </w:r>
      <w:proofErr w:type="spellStart"/>
      <w:r w:rsidRPr="00F66197">
        <w:rPr>
          <w:rFonts w:ascii="Lato" w:hAnsi="Lato"/>
          <w:sz w:val="12"/>
          <w:szCs w:val="12"/>
          <w:lang w:val="es-US"/>
        </w:rPr>
        <w:t>remixer</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transformer</w:t>
      </w:r>
      <w:proofErr w:type="spellEnd"/>
      <w:r w:rsidRPr="00F66197">
        <w:rPr>
          <w:rFonts w:ascii="Lato" w:hAnsi="Lato"/>
          <w:sz w:val="12"/>
          <w:szCs w:val="12"/>
          <w:lang w:val="es-US"/>
        </w:rPr>
        <w:t xml:space="preserve"> et </w:t>
      </w:r>
      <w:proofErr w:type="spellStart"/>
      <w:r w:rsidRPr="00F66197">
        <w:rPr>
          <w:rFonts w:ascii="Lato" w:hAnsi="Lato"/>
          <w:sz w:val="12"/>
          <w:szCs w:val="12"/>
          <w:lang w:val="es-US"/>
        </w:rPr>
        <w:t>créer</w:t>
      </w:r>
      <w:proofErr w:type="spellEnd"/>
      <w:r w:rsidRPr="00F66197">
        <w:rPr>
          <w:rFonts w:ascii="Lato" w:hAnsi="Lato"/>
          <w:sz w:val="12"/>
          <w:szCs w:val="12"/>
          <w:lang w:val="es-US"/>
        </w:rPr>
        <w:t xml:space="preserve"> à partir du </w:t>
      </w:r>
      <w:proofErr w:type="spellStart"/>
      <w:r w:rsidRPr="00F66197">
        <w:rPr>
          <w:rFonts w:ascii="Lato" w:hAnsi="Lato"/>
          <w:sz w:val="12"/>
          <w:szCs w:val="12"/>
          <w:lang w:val="es-US"/>
        </w:rPr>
        <w:t>matériel</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pour</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toute</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utilisation</w:t>
      </w:r>
      <w:proofErr w:type="spellEnd"/>
      <w:r w:rsidRPr="00F66197">
        <w:rPr>
          <w:rFonts w:ascii="Lato" w:hAnsi="Lato"/>
          <w:sz w:val="12"/>
          <w:szCs w:val="12"/>
          <w:lang w:val="es-US"/>
        </w:rPr>
        <w:t xml:space="preserve">, y </w:t>
      </w:r>
      <w:proofErr w:type="spellStart"/>
      <w:r w:rsidRPr="00F66197">
        <w:rPr>
          <w:rFonts w:ascii="Lato" w:hAnsi="Lato"/>
          <w:sz w:val="12"/>
          <w:szCs w:val="12"/>
          <w:lang w:val="es-US"/>
        </w:rPr>
        <w:t>compris</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commerciale</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tant</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qu'il</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remplit</w:t>
      </w:r>
      <w:proofErr w:type="spellEnd"/>
      <w:r w:rsidRPr="00F66197">
        <w:rPr>
          <w:rFonts w:ascii="Lato" w:hAnsi="Lato"/>
          <w:sz w:val="12"/>
          <w:szCs w:val="12"/>
          <w:lang w:val="es-US"/>
        </w:rPr>
        <w:t xml:space="preserve"> la </w:t>
      </w:r>
      <w:proofErr w:type="spellStart"/>
      <w:r w:rsidRPr="00F66197">
        <w:rPr>
          <w:rFonts w:ascii="Lato" w:hAnsi="Lato"/>
          <w:sz w:val="12"/>
          <w:szCs w:val="12"/>
          <w:lang w:val="es-US"/>
        </w:rPr>
        <w:t>condition</w:t>
      </w:r>
      <w:proofErr w:type="spellEnd"/>
      <w:r w:rsidRPr="00F66197">
        <w:rPr>
          <w:rFonts w:ascii="Lato" w:hAnsi="Lato"/>
          <w:sz w:val="12"/>
          <w:szCs w:val="12"/>
          <w:lang w:val="es-US"/>
        </w:rPr>
        <w:t xml:space="preserve"> de:</w:t>
      </w:r>
    </w:p>
    <w:p w14:paraId="5A399AC8" w14:textId="77777777" w:rsidR="004E419F" w:rsidRPr="00F66197" w:rsidRDefault="004E419F" w:rsidP="004E419F">
      <w:pPr>
        <w:spacing w:after="240"/>
        <w:ind w:right="-22"/>
        <w:jc w:val="center"/>
        <w:rPr>
          <w:rFonts w:ascii="Lato" w:hAnsi="Lato"/>
          <w:sz w:val="12"/>
          <w:szCs w:val="12"/>
        </w:rPr>
      </w:pPr>
      <w:proofErr w:type="spellStart"/>
      <w:r w:rsidRPr="00F66197">
        <w:rPr>
          <w:rFonts w:ascii="Lato" w:hAnsi="Lato"/>
          <w:sz w:val="12"/>
          <w:szCs w:val="12"/>
          <w:lang w:val="es-US"/>
        </w:rPr>
        <w:t>Attribution</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Vous</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devez</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créditer</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l'Œuvre</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intégrer</w:t>
      </w:r>
      <w:proofErr w:type="spellEnd"/>
      <w:r w:rsidRPr="00F66197">
        <w:rPr>
          <w:rFonts w:ascii="Lato" w:hAnsi="Lato"/>
          <w:sz w:val="12"/>
          <w:szCs w:val="12"/>
          <w:lang w:val="es-US"/>
        </w:rPr>
        <w:t xml:space="preserve"> un </w:t>
      </w:r>
      <w:proofErr w:type="spellStart"/>
      <w:r w:rsidRPr="00F66197">
        <w:rPr>
          <w:rFonts w:ascii="Lato" w:hAnsi="Lato"/>
          <w:sz w:val="12"/>
          <w:szCs w:val="12"/>
          <w:lang w:val="es-US"/>
        </w:rPr>
        <w:t>lien</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vers</w:t>
      </w:r>
      <w:proofErr w:type="spellEnd"/>
      <w:r w:rsidRPr="00F66197">
        <w:rPr>
          <w:rFonts w:ascii="Lato" w:hAnsi="Lato"/>
          <w:sz w:val="12"/>
          <w:szCs w:val="12"/>
          <w:lang w:val="es-US"/>
        </w:rPr>
        <w:t xml:space="preserve"> la </w:t>
      </w:r>
      <w:proofErr w:type="spellStart"/>
      <w:r w:rsidRPr="00F66197">
        <w:rPr>
          <w:rFonts w:ascii="Lato" w:hAnsi="Lato"/>
          <w:sz w:val="12"/>
          <w:szCs w:val="12"/>
          <w:lang w:val="es-US"/>
        </w:rPr>
        <w:t>licence</w:t>
      </w:r>
      <w:proofErr w:type="spellEnd"/>
      <w:r w:rsidRPr="00F66197">
        <w:rPr>
          <w:rFonts w:ascii="Lato" w:hAnsi="Lato"/>
          <w:sz w:val="12"/>
          <w:szCs w:val="12"/>
          <w:lang w:val="es-US"/>
        </w:rPr>
        <w:t xml:space="preserve"> et </w:t>
      </w:r>
      <w:proofErr w:type="spellStart"/>
      <w:r w:rsidRPr="00F66197">
        <w:rPr>
          <w:rFonts w:ascii="Lato" w:hAnsi="Lato"/>
          <w:sz w:val="12"/>
          <w:szCs w:val="12"/>
          <w:lang w:val="es-US"/>
        </w:rPr>
        <w:t>indiquer</w:t>
      </w:r>
      <w:proofErr w:type="spellEnd"/>
      <w:r w:rsidRPr="00F66197">
        <w:rPr>
          <w:rFonts w:ascii="Lato" w:hAnsi="Lato"/>
          <w:sz w:val="12"/>
          <w:szCs w:val="12"/>
          <w:lang w:val="es-US"/>
        </w:rPr>
        <w:t xml:space="preserve"> si des </w:t>
      </w:r>
      <w:proofErr w:type="spellStart"/>
      <w:r w:rsidRPr="00F66197">
        <w:rPr>
          <w:rFonts w:ascii="Lato" w:hAnsi="Lato"/>
          <w:sz w:val="12"/>
          <w:szCs w:val="12"/>
          <w:lang w:val="es-US"/>
        </w:rPr>
        <w:t>modifications</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ont</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été</w:t>
      </w:r>
      <w:proofErr w:type="spellEnd"/>
      <w:r w:rsidRPr="00F66197">
        <w:rPr>
          <w:rFonts w:ascii="Lato" w:hAnsi="Lato"/>
          <w:sz w:val="12"/>
          <w:szCs w:val="12"/>
          <w:lang w:val="es-US"/>
        </w:rPr>
        <w:t xml:space="preserve"> </w:t>
      </w:r>
      <w:proofErr w:type="spellStart"/>
      <w:r w:rsidRPr="00F66197">
        <w:rPr>
          <w:rFonts w:ascii="Lato" w:hAnsi="Lato"/>
          <w:sz w:val="12"/>
          <w:szCs w:val="12"/>
          <w:lang w:val="es-US"/>
        </w:rPr>
        <w:t>effectuées</w:t>
      </w:r>
      <w:proofErr w:type="spellEnd"/>
      <w:r w:rsidRPr="00F66197">
        <w:rPr>
          <w:rFonts w:ascii="Lato" w:hAnsi="Lato"/>
          <w:sz w:val="12"/>
          <w:szCs w:val="12"/>
          <w:lang w:val="es-US"/>
        </w:rPr>
        <w:t xml:space="preserve"> à </w:t>
      </w:r>
      <w:proofErr w:type="spellStart"/>
      <w:r w:rsidRPr="00F66197">
        <w:rPr>
          <w:rFonts w:ascii="Lato" w:hAnsi="Lato"/>
          <w:sz w:val="12"/>
          <w:szCs w:val="12"/>
          <w:lang w:val="es-US"/>
        </w:rPr>
        <w:t>l'Oeuvre</w:t>
      </w:r>
      <w:proofErr w:type="spellEnd"/>
      <w:r w:rsidRPr="00F66197">
        <w:rPr>
          <w:rFonts w:ascii="Lato" w:hAnsi="Lato"/>
          <w:sz w:val="12"/>
          <w:szCs w:val="12"/>
          <w:lang w:val="es-US"/>
        </w:rPr>
        <w:t xml:space="preserve">. </w:t>
      </w:r>
      <w:proofErr w:type="spellStart"/>
      <w:r w:rsidRPr="00F66197">
        <w:rPr>
          <w:rFonts w:ascii="Lato" w:hAnsi="Lato"/>
          <w:sz w:val="12"/>
          <w:szCs w:val="12"/>
        </w:rPr>
        <w:t>Vous</w:t>
      </w:r>
      <w:proofErr w:type="spellEnd"/>
      <w:r w:rsidRPr="00F66197">
        <w:rPr>
          <w:rFonts w:ascii="Lato" w:hAnsi="Lato"/>
          <w:sz w:val="12"/>
          <w:szCs w:val="12"/>
        </w:rPr>
        <w:t xml:space="preserve"> </w:t>
      </w:r>
      <w:proofErr w:type="spellStart"/>
      <w:r w:rsidRPr="00F66197">
        <w:rPr>
          <w:rFonts w:ascii="Lato" w:hAnsi="Lato"/>
          <w:sz w:val="12"/>
          <w:szCs w:val="12"/>
        </w:rPr>
        <w:t>devez</w:t>
      </w:r>
      <w:proofErr w:type="spellEnd"/>
      <w:r w:rsidRPr="00F66197">
        <w:rPr>
          <w:rFonts w:ascii="Lato" w:hAnsi="Lato"/>
          <w:sz w:val="12"/>
          <w:szCs w:val="12"/>
        </w:rPr>
        <w:t xml:space="preserve"> </w:t>
      </w:r>
      <w:proofErr w:type="spellStart"/>
      <w:r w:rsidRPr="00F66197">
        <w:rPr>
          <w:rFonts w:ascii="Lato" w:hAnsi="Lato"/>
          <w:sz w:val="12"/>
          <w:szCs w:val="12"/>
        </w:rPr>
        <w:t>indiquer</w:t>
      </w:r>
      <w:proofErr w:type="spellEnd"/>
      <w:r w:rsidRPr="00F66197">
        <w:rPr>
          <w:rFonts w:ascii="Lato" w:hAnsi="Lato"/>
          <w:sz w:val="12"/>
          <w:szCs w:val="12"/>
        </w:rPr>
        <w:t xml:space="preserve"> </w:t>
      </w:r>
      <w:proofErr w:type="spellStart"/>
      <w:r w:rsidRPr="00F66197">
        <w:rPr>
          <w:rFonts w:ascii="Lato" w:hAnsi="Lato"/>
          <w:sz w:val="12"/>
          <w:szCs w:val="12"/>
        </w:rPr>
        <w:t>ces</w:t>
      </w:r>
      <w:proofErr w:type="spellEnd"/>
      <w:r w:rsidRPr="00F66197">
        <w:rPr>
          <w:rFonts w:ascii="Lato" w:hAnsi="Lato"/>
          <w:sz w:val="12"/>
          <w:szCs w:val="12"/>
        </w:rPr>
        <w:t xml:space="preserve"> </w:t>
      </w:r>
      <w:proofErr w:type="spellStart"/>
      <w:r w:rsidRPr="00F66197">
        <w:rPr>
          <w:rFonts w:ascii="Lato" w:hAnsi="Lato"/>
          <w:sz w:val="12"/>
          <w:szCs w:val="12"/>
        </w:rPr>
        <w:t>informations</w:t>
      </w:r>
      <w:proofErr w:type="spellEnd"/>
      <w:r w:rsidRPr="00F66197">
        <w:rPr>
          <w:rFonts w:ascii="Lato" w:hAnsi="Lato"/>
          <w:sz w:val="12"/>
          <w:szCs w:val="12"/>
        </w:rPr>
        <w:t xml:space="preserve"> par </w:t>
      </w:r>
      <w:proofErr w:type="spellStart"/>
      <w:r w:rsidRPr="00F66197">
        <w:rPr>
          <w:rFonts w:ascii="Lato" w:hAnsi="Lato"/>
          <w:sz w:val="12"/>
          <w:szCs w:val="12"/>
        </w:rPr>
        <w:t>tous</w:t>
      </w:r>
      <w:proofErr w:type="spellEnd"/>
      <w:r w:rsidRPr="00F66197">
        <w:rPr>
          <w:rFonts w:ascii="Lato" w:hAnsi="Lato"/>
          <w:sz w:val="12"/>
          <w:szCs w:val="12"/>
        </w:rPr>
        <w:t xml:space="preserve"> les </w:t>
      </w:r>
      <w:proofErr w:type="spellStart"/>
      <w:r w:rsidRPr="00F66197">
        <w:rPr>
          <w:rFonts w:ascii="Lato" w:hAnsi="Lato"/>
          <w:sz w:val="12"/>
          <w:szCs w:val="12"/>
        </w:rPr>
        <w:t>moyens</w:t>
      </w:r>
      <w:proofErr w:type="spellEnd"/>
      <w:r w:rsidRPr="00F66197">
        <w:rPr>
          <w:rFonts w:ascii="Lato" w:hAnsi="Lato"/>
          <w:sz w:val="12"/>
          <w:szCs w:val="12"/>
        </w:rPr>
        <w:t xml:space="preserve"> </w:t>
      </w:r>
      <w:proofErr w:type="spellStart"/>
      <w:r w:rsidRPr="00F66197">
        <w:rPr>
          <w:rFonts w:ascii="Lato" w:hAnsi="Lato"/>
          <w:sz w:val="12"/>
          <w:szCs w:val="12"/>
        </w:rPr>
        <w:t>raisonnables</w:t>
      </w:r>
      <w:proofErr w:type="spellEnd"/>
      <w:r w:rsidRPr="00F66197">
        <w:rPr>
          <w:rFonts w:ascii="Lato" w:hAnsi="Lato"/>
          <w:sz w:val="12"/>
          <w:szCs w:val="12"/>
        </w:rPr>
        <w:t xml:space="preserve">, sans </w:t>
      </w:r>
      <w:proofErr w:type="spellStart"/>
      <w:r w:rsidRPr="00F66197">
        <w:rPr>
          <w:rFonts w:ascii="Lato" w:hAnsi="Lato"/>
          <w:sz w:val="12"/>
          <w:szCs w:val="12"/>
        </w:rPr>
        <w:t>toutefois</w:t>
      </w:r>
      <w:proofErr w:type="spellEnd"/>
      <w:r w:rsidRPr="00F66197">
        <w:rPr>
          <w:rFonts w:ascii="Lato" w:hAnsi="Lato"/>
          <w:sz w:val="12"/>
          <w:szCs w:val="12"/>
        </w:rPr>
        <w:t xml:space="preserve"> </w:t>
      </w:r>
      <w:proofErr w:type="spellStart"/>
      <w:r w:rsidRPr="00F66197">
        <w:rPr>
          <w:rFonts w:ascii="Lato" w:hAnsi="Lato"/>
          <w:sz w:val="12"/>
          <w:szCs w:val="12"/>
        </w:rPr>
        <w:t>suggérer</w:t>
      </w:r>
      <w:proofErr w:type="spellEnd"/>
      <w:r w:rsidRPr="00F66197">
        <w:rPr>
          <w:rFonts w:ascii="Lato" w:hAnsi="Lato"/>
          <w:sz w:val="12"/>
          <w:szCs w:val="12"/>
        </w:rPr>
        <w:t xml:space="preserve"> </w:t>
      </w:r>
      <w:proofErr w:type="spellStart"/>
      <w:r w:rsidRPr="00F66197">
        <w:rPr>
          <w:rFonts w:ascii="Lato" w:hAnsi="Lato"/>
          <w:sz w:val="12"/>
          <w:szCs w:val="12"/>
        </w:rPr>
        <w:t>que</w:t>
      </w:r>
      <w:proofErr w:type="spellEnd"/>
      <w:r w:rsidRPr="00F66197">
        <w:rPr>
          <w:rFonts w:ascii="Lato" w:hAnsi="Lato"/>
          <w:sz w:val="12"/>
          <w:szCs w:val="12"/>
        </w:rPr>
        <w:t xml:space="preserve"> </w:t>
      </w:r>
      <w:proofErr w:type="spellStart"/>
      <w:r w:rsidRPr="00F66197">
        <w:rPr>
          <w:rFonts w:ascii="Lato" w:hAnsi="Lato"/>
          <w:sz w:val="12"/>
          <w:szCs w:val="12"/>
        </w:rPr>
        <w:t>l'Offrant</w:t>
      </w:r>
      <w:proofErr w:type="spellEnd"/>
      <w:r w:rsidRPr="00F66197">
        <w:rPr>
          <w:rFonts w:ascii="Lato" w:hAnsi="Lato"/>
          <w:sz w:val="12"/>
          <w:szCs w:val="12"/>
        </w:rPr>
        <w:t xml:space="preserve"> </w:t>
      </w:r>
      <w:proofErr w:type="spellStart"/>
      <w:r w:rsidRPr="00F66197">
        <w:rPr>
          <w:rFonts w:ascii="Lato" w:hAnsi="Lato"/>
          <w:sz w:val="12"/>
          <w:szCs w:val="12"/>
        </w:rPr>
        <w:t>vous</w:t>
      </w:r>
      <w:proofErr w:type="spellEnd"/>
      <w:r w:rsidRPr="00F66197">
        <w:rPr>
          <w:rFonts w:ascii="Lato" w:hAnsi="Lato"/>
          <w:sz w:val="12"/>
          <w:szCs w:val="12"/>
        </w:rPr>
        <w:t xml:space="preserve"> </w:t>
      </w:r>
      <w:proofErr w:type="spellStart"/>
      <w:r w:rsidRPr="00F66197">
        <w:rPr>
          <w:rFonts w:ascii="Lato" w:hAnsi="Lato"/>
          <w:sz w:val="12"/>
          <w:szCs w:val="12"/>
        </w:rPr>
        <w:t>soutient</w:t>
      </w:r>
      <w:proofErr w:type="spellEnd"/>
      <w:r w:rsidRPr="00F66197">
        <w:rPr>
          <w:rFonts w:ascii="Lato" w:hAnsi="Lato"/>
          <w:sz w:val="12"/>
          <w:szCs w:val="12"/>
        </w:rPr>
        <w:t xml:space="preserve"> </w:t>
      </w:r>
      <w:proofErr w:type="spellStart"/>
      <w:r w:rsidRPr="00F66197">
        <w:rPr>
          <w:rFonts w:ascii="Lato" w:hAnsi="Lato"/>
          <w:sz w:val="12"/>
          <w:szCs w:val="12"/>
        </w:rPr>
        <w:t>ou</w:t>
      </w:r>
      <w:proofErr w:type="spellEnd"/>
      <w:r w:rsidRPr="00F66197">
        <w:rPr>
          <w:rFonts w:ascii="Lato" w:hAnsi="Lato"/>
          <w:sz w:val="12"/>
          <w:szCs w:val="12"/>
        </w:rPr>
        <w:t xml:space="preserve"> </w:t>
      </w:r>
      <w:proofErr w:type="spellStart"/>
      <w:r w:rsidRPr="00F66197">
        <w:rPr>
          <w:rFonts w:ascii="Lato" w:hAnsi="Lato"/>
          <w:sz w:val="12"/>
          <w:szCs w:val="12"/>
        </w:rPr>
        <w:t>soutient</w:t>
      </w:r>
      <w:proofErr w:type="spellEnd"/>
      <w:r w:rsidRPr="00F66197">
        <w:rPr>
          <w:rFonts w:ascii="Lato" w:hAnsi="Lato"/>
          <w:sz w:val="12"/>
          <w:szCs w:val="12"/>
        </w:rPr>
        <w:t xml:space="preserve"> la </w:t>
      </w:r>
      <w:proofErr w:type="spellStart"/>
      <w:r w:rsidRPr="00F66197">
        <w:rPr>
          <w:rFonts w:ascii="Lato" w:hAnsi="Lato"/>
          <w:sz w:val="12"/>
          <w:szCs w:val="12"/>
        </w:rPr>
        <w:t>façon</w:t>
      </w:r>
      <w:proofErr w:type="spellEnd"/>
      <w:r w:rsidRPr="00F66197">
        <w:rPr>
          <w:rFonts w:ascii="Lato" w:hAnsi="Lato"/>
          <w:sz w:val="12"/>
          <w:szCs w:val="12"/>
        </w:rPr>
        <w:t xml:space="preserve"> </w:t>
      </w:r>
      <w:proofErr w:type="spellStart"/>
      <w:r w:rsidRPr="00F66197">
        <w:rPr>
          <w:rFonts w:ascii="Lato" w:hAnsi="Lato"/>
          <w:sz w:val="12"/>
          <w:szCs w:val="12"/>
        </w:rPr>
        <w:t>dont</w:t>
      </w:r>
      <w:proofErr w:type="spellEnd"/>
      <w:r w:rsidRPr="00F66197">
        <w:rPr>
          <w:rFonts w:ascii="Lato" w:hAnsi="Lato"/>
          <w:sz w:val="12"/>
          <w:szCs w:val="12"/>
        </w:rPr>
        <w:t xml:space="preserve"> </w:t>
      </w:r>
      <w:proofErr w:type="spellStart"/>
      <w:r w:rsidRPr="00F66197">
        <w:rPr>
          <w:rFonts w:ascii="Lato" w:hAnsi="Lato"/>
          <w:sz w:val="12"/>
          <w:szCs w:val="12"/>
        </w:rPr>
        <w:t>vous</w:t>
      </w:r>
      <w:proofErr w:type="spellEnd"/>
      <w:r w:rsidRPr="00F66197">
        <w:rPr>
          <w:rFonts w:ascii="Lato" w:hAnsi="Lato"/>
          <w:sz w:val="12"/>
          <w:szCs w:val="12"/>
        </w:rPr>
        <w:t xml:space="preserve"> </w:t>
      </w:r>
      <w:proofErr w:type="spellStart"/>
      <w:r w:rsidRPr="00F66197">
        <w:rPr>
          <w:rFonts w:ascii="Lato" w:hAnsi="Lato"/>
          <w:sz w:val="12"/>
          <w:szCs w:val="12"/>
        </w:rPr>
        <w:t>avez</w:t>
      </w:r>
      <w:proofErr w:type="spellEnd"/>
      <w:r w:rsidRPr="00F66197">
        <w:rPr>
          <w:rFonts w:ascii="Lato" w:hAnsi="Lato"/>
          <w:sz w:val="12"/>
          <w:szCs w:val="12"/>
        </w:rPr>
        <w:t xml:space="preserve"> </w:t>
      </w:r>
      <w:proofErr w:type="spellStart"/>
      <w:r w:rsidRPr="00F66197">
        <w:rPr>
          <w:rFonts w:ascii="Lato" w:hAnsi="Lato"/>
          <w:sz w:val="12"/>
          <w:szCs w:val="12"/>
        </w:rPr>
        <w:t>utilisé</w:t>
      </w:r>
      <w:proofErr w:type="spellEnd"/>
      <w:r w:rsidRPr="00F66197">
        <w:rPr>
          <w:rFonts w:ascii="Lato" w:hAnsi="Lato"/>
          <w:sz w:val="12"/>
          <w:szCs w:val="12"/>
        </w:rPr>
        <w:t xml:space="preserve"> son Oeuvre.</w:t>
      </w:r>
    </w:p>
    <w:p w14:paraId="6EF3D820" w14:textId="77777777" w:rsidR="004E419F" w:rsidRPr="00F66197" w:rsidRDefault="00D42754" w:rsidP="004E419F">
      <w:pPr>
        <w:spacing w:after="240"/>
        <w:ind w:right="-22"/>
        <w:jc w:val="center"/>
        <w:rPr>
          <w:rFonts w:ascii="Lato" w:hAnsi="Lato"/>
          <w:sz w:val="12"/>
          <w:szCs w:val="12"/>
          <w:lang w:val="es-US"/>
        </w:rPr>
      </w:pPr>
      <w:hyperlink r:id="rId21" w:history="1">
        <w:proofErr w:type="spellStart"/>
        <w:r w:rsidR="004E419F" w:rsidRPr="00F66197">
          <w:rPr>
            <w:rStyle w:val="Hyperlink"/>
            <w:rFonts w:ascii="Lato" w:hAnsi="Lato"/>
            <w:i/>
            <w:sz w:val="12"/>
            <w:szCs w:val="12"/>
            <w:lang w:val="es-US"/>
          </w:rPr>
          <w:t>Résumé</w:t>
        </w:r>
        <w:proofErr w:type="spellEnd"/>
        <w:r w:rsidR="004E419F" w:rsidRPr="00F66197">
          <w:rPr>
            <w:rStyle w:val="Hyperlink"/>
            <w:rFonts w:ascii="Lato" w:hAnsi="Lato"/>
            <w:i/>
            <w:sz w:val="12"/>
            <w:szCs w:val="12"/>
            <w:lang w:val="es-US"/>
          </w:rPr>
          <w:t xml:space="preserve"> de la </w:t>
        </w:r>
        <w:proofErr w:type="spellStart"/>
        <w:r w:rsidR="004E419F" w:rsidRPr="00F66197">
          <w:rPr>
            <w:rStyle w:val="Hyperlink"/>
            <w:rFonts w:ascii="Lato" w:hAnsi="Lato"/>
            <w:i/>
            <w:sz w:val="12"/>
            <w:szCs w:val="12"/>
            <w:lang w:val="es-US"/>
          </w:rPr>
          <w:t>licence</w:t>
        </w:r>
        <w:proofErr w:type="spellEnd"/>
      </w:hyperlink>
      <w:r w:rsidR="004E419F" w:rsidRPr="00F66197">
        <w:rPr>
          <w:rFonts w:ascii="Lato" w:hAnsi="Lato"/>
          <w:i/>
          <w:sz w:val="12"/>
          <w:szCs w:val="12"/>
          <w:lang w:val="es-US"/>
        </w:rPr>
        <w:t xml:space="preserve"> </w:t>
      </w:r>
      <w:hyperlink>
        <w:r w:rsidR="004E419F" w:rsidRPr="00F66197">
          <w:rPr>
            <w:rStyle w:val="Hyperlink"/>
            <w:rFonts w:ascii="Lato" w:hAnsi="Lato"/>
            <w:i/>
            <w:sz w:val="12"/>
            <w:szCs w:val="12"/>
            <w:lang w:val="es-US"/>
          </w:rPr>
          <w:t xml:space="preserve">-  </w:t>
        </w:r>
      </w:hyperlink>
      <w:hyperlink r:id="rId22" w:history="1">
        <w:proofErr w:type="spellStart"/>
        <w:r w:rsidR="004E419F" w:rsidRPr="00F66197">
          <w:rPr>
            <w:rStyle w:val="Hyperlink"/>
            <w:rFonts w:ascii="Lato" w:hAnsi="Lato"/>
            <w:i/>
            <w:sz w:val="12"/>
            <w:szCs w:val="12"/>
            <w:lang w:val="es-US"/>
          </w:rPr>
          <w:t>Texte</w:t>
        </w:r>
        <w:proofErr w:type="spellEnd"/>
        <w:r w:rsidR="004E419F" w:rsidRPr="00F66197">
          <w:rPr>
            <w:rStyle w:val="Hyperlink"/>
            <w:rFonts w:ascii="Lato" w:hAnsi="Lato"/>
            <w:i/>
            <w:sz w:val="12"/>
            <w:szCs w:val="12"/>
            <w:lang w:val="es-US"/>
          </w:rPr>
          <w:t xml:space="preserve"> </w:t>
        </w:r>
        <w:proofErr w:type="spellStart"/>
        <w:r w:rsidR="004E419F" w:rsidRPr="00F66197">
          <w:rPr>
            <w:rStyle w:val="Hyperlink"/>
            <w:rFonts w:ascii="Lato" w:hAnsi="Lato"/>
            <w:i/>
            <w:sz w:val="12"/>
            <w:szCs w:val="12"/>
            <w:lang w:val="es-US"/>
          </w:rPr>
          <w:t>intégral</w:t>
        </w:r>
        <w:proofErr w:type="spellEnd"/>
        <w:r w:rsidR="004E419F" w:rsidRPr="00F66197">
          <w:rPr>
            <w:rStyle w:val="Hyperlink"/>
            <w:rFonts w:ascii="Lato" w:hAnsi="Lato"/>
            <w:i/>
            <w:sz w:val="12"/>
            <w:szCs w:val="12"/>
            <w:lang w:val="es-US"/>
          </w:rPr>
          <w:t xml:space="preserve"> de la </w:t>
        </w:r>
        <w:proofErr w:type="spellStart"/>
        <w:r w:rsidR="004E419F" w:rsidRPr="00F66197">
          <w:rPr>
            <w:rStyle w:val="Hyperlink"/>
            <w:rFonts w:ascii="Lato" w:hAnsi="Lato"/>
            <w:i/>
            <w:sz w:val="12"/>
            <w:szCs w:val="12"/>
            <w:lang w:val="es-US"/>
          </w:rPr>
          <w:t>licence</w:t>
        </w:r>
        <w:proofErr w:type="spellEnd"/>
      </w:hyperlink>
    </w:p>
    <w:p w14:paraId="1BB72BED" w14:textId="77777777" w:rsidR="004E419F" w:rsidRPr="00872BB8" w:rsidRDefault="004E419F" w:rsidP="004E419F">
      <w:pPr>
        <w:spacing w:after="240"/>
        <w:ind w:right="-22"/>
        <w:jc w:val="both"/>
        <w:rPr>
          <w:rFonts w:ascii="Lato-Regular" w:hAnsi="Lato-Regular"/>
          <w:sz w:val="16"/>
          <w:szCs w:val="16"/>
        </w:rPr>
      </w:pPr>
    </w:p>
    <w:p w14:paraId="5D1CF6F1" w14:textId="77777777" w:rsidR="004E419F" w:rsidRDefault="004E419F" w:rsidP="004E419F"/>
    <w:p w14:paraId="5A2FF2B2" w14:textId="77777777" w:rsidR="004E419F" w:rsidRDefault="004E419F" w:rsidP="004E419F">
      <w:pPr>
        <w:spacing w:after="240"/>
        <w:ind w:right="-22"/>
        <w:jc w:val="both"/>
        <w:rPr>
          <w:rFonts w:ascii="Lato-Regular" w:hAnsi="Lato-Regular"/>
          <w:color w:val="000000"/>
          <w:sz w:val="16"/>
          <w:szCs w:val="16"/>
          <w:lang w:val="fr-FR"/>
        </w:rPr>
      </w:pPr>
    </w:p>
    <w:sectPr w:rsidR="004E419F" w:rsidSect="00435544">
      <w:headerReference w:type="default" r:id="rId23"/>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1500B" w14:textId="77777777" w:rsidR="00D42754" w:rsidRDefault="00D42754" w:rsidP="007F0438">
      <w:pPr>
        <w:spacing w:after="0" w:line="240" w:lineRule="auto"/>
      </w:pPr>
      <w:r>
        <w:separator/>
      </w:r>
    </w:p>
  </w:endnote>
  <w:endnote w:type="continuationSeparator" w:id="0">
    <w:p w14:paraId="15A301ED" w14:textId="77777777" w:rsidR="00D42754" w:rsidRDefault="00D42754" w:rsidP="007F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Regular">
    <w:altName w:val="Calibri"/>
    <w:charset w:val="4D"/>
    <w:family w:val="swiss"/>
    <w:pitch w:val="variable"/>
    <w:sig w:usb0="A00000AF" w:usb1="5000604B" w:usb2="00000000" w:usb3="00000000" w:csb0="00000093" w:csb1="00000000"/>
  </w:font>
  <w:font w:name="Lato-Bold">
    <w:altName w:val="Calibri"/>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Lato-Black">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b/>
        <w:bCs/>
        <w:color w:val="FFFFFF" w:themeColor="background1"/>
      </w:rPr>
      <w:id w:val="-2066791087"/>
      <w:docPartObj>
        <w:docPartGallery w:val="Page Numbers (Bottom of Page)"/>
        <w:docPartUnique/>
      </w:docPartObj>
    </w:sdtPr>
    <w:sdtEndPr>
      <w:rPr>
        <w:rStyle w:val="PageNumber"/>
      </w:rPr>
    </w:sdtEndPr>
    <w:sdtContent>
      <w:p w14:paraId="78BE5158" w14:textId="77777777" w:rsidR="00A52C82" w:rsidRPr="00A52C82" w:rsidRDefault="00A52C82" w:rsidP="0013251A">
        <w:pPr>
          <w:pStyle w:val="Footer"/>
          <w:framePr w:wrap="none" w:vAnchor="text" w:hAnchor="page" w:x="11045" w:y="314"/>
          <w:rPr>
            <w:rStyle w:val="PageNumber"/>
            <w:b/>
            <w:bCs/>
            <w:color w:val="FFFFFF" w:themeColor="background1"/>
          </w:rPr>
        </w:pPr>
        <w:r w:rsidRPr="00A52C82">
          <w:rPr>
            <w:rStyle w:val="PageNumber"/>
            <w:b/>
            <w:bCs/>
            <w:color w:val="FFFFFF" w:themeColor="background1"/>
          </w:rPr>
          <w:fldChar w:fldCharType="begin"/>
        </w:r>
        <w:r w:rsidRPr="00A52C82">
          <w:rPr>
            <w:rStyle w:val="PageNumber"/>
            <w:b/>
            <w:bCs/>
            <w:color w:val="FFFFFF" w:themeColor="background1"/>
          </w:rPr>
          <w:instrText xml:space="preserve"> PAGE </w:instrText>
        </w:r>
        <w:r w:rsidRPr="00A52C82">
          <w:rPr>
            <w:rStyle w:val="PageNumber"/>
            <w:b/>
            <w:bCs/>
            <w:color w:val="FFFFFF" w:themeColor="background1"/>
          </w:rPr>
          <w:fldChar w:fldCharType="separate"/>
        </w:r>
        <w:r w:rsidR="009C7270">
          <w:rPr>
            <w:rStyle w:val="PageNumber"/>
            <w:b/>
            <w:bCs/>
            <w:noProof/>
            <w:color w:val="FFFFFF" w:themeColor="background1"/>
          </w:rPr>
          <w:t>17</w:t>
        </w:r>
        <w:r w:rsidRPr="00A52C82">
          <w:rPr>
            <w:rStyle w:val="PageNumber"/>
            <w:b/>
            <w:bCs/>
            <w:color w:val="FFFFFF" w:themeColor="background1"/>
          </w:rPr>
          <w:fldChar w:fldCharType="end"/>
        </w:r>
      </w:p>
    </w:sdtContent>
  </w:sdt>
  <w:p w14:paraId="0D76AC7D" w14:textId="090D2AE8" w:rsidR="00A52C82" w:rsidRDefault="00A52C82">
    <w:pPr>
      <w:pStyle w:val="Footer"/>
    </w:pPr>
    <w:r>
      <w:rPr>
        <w:noProof/>
      </w:rPr>
      <mc:AlternateContent>
        <mc:Choice Requires="wps">
          <w:drawing>
            <wp:anchor distT="0" distB="0" distL="114300" distR="114300" simplePos="0" relativeHeight="251665408" behindDoc="1" locked="0" layoutInCell="1" allowOverlap="1" wp14:anchorId="5606BFE3" wp14:editId="2BECF890">
              <wp:simplePos x="0" y="0"/>
              <wp:positionH relativeFrom="page">
                <wp:posOffset>4960782</wp:posOffset>
              </wp:positionH>
              <wp:positionV relativeFrom="page">
                <wp:posOffset>9628505</wp:posOffset>
              </wp:positionV>
              <wp:extent cx="2120265" cy="198120"/>
              <wp:effectExtent l="0" t="0" r="13335" b="114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2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3A718" w14:textId="1BCC5325" w:rsidR="00F66197" w:rsidRDefault="00F66197" w:rsidP="00F66197">
                          <w:pPr>
                            <w:pStyle w:val="BodyText"/>
                            <w:tabs>
                              <w:tab w:val="right" w:pos="2947"/>
                            </w:tabs>
                            <w:spacing w:before="20"/>
                            <w:ind w:left="20"/>
                            <w:jc w:val="left"/>
                          </w:pPr>
                          <w:proofErr w:type="gramStart"/>
                          <w:r w:rsidRPr="0032073F">
                            <w:t>D</w:t>
                          </w:r>
                          <w:r w:rsidRPr="0032073F">
                            <w:rPr>
                              <w:lang w:val="es-US"/>
                            </w:rPr>
                            <w:t>é</w:t>
                          </w:r>
                          <w:proofErr w:type="spellStart"/>
                          <w:r w:rsidRPr="0032073F">
                            <w:t>cembre</w:t>
                          </w:r>
                          <w:proofErr w:type="spellEnd"/>
                          <w:r w:rsidRPr="0032073F">
                            <w:t xml:space="preserve"> 2020.</w:t>
                          </w:r>
                          <w:proofErr w:type="gramEnd"/>
                          <w:r w:rsidRPr="0032073F">
                            <w:t xml:space="preserve"> </w:t>
                          </w:r>
                          <w:proofErr w:type="spellStart"/>
                          <w:r w:rsidRPr="0032073F">
                            <w:rPr>
                              <w:lang w:val="es-US"/>
                            </w:rPr>
                            <w:t>Année</w:t>
                          </w:r>
                          <w:proofErr w:type="spellEnd"/>
                          <w:r w:rsidRPr="0032073F">
                            <w:rPr>
                              <w:lang w:val="es-US"/>
                            </w:rPr>
                            <w:t xml:space="preserve"> </w:t>
                          </w:r>
                          <w:r w:rsidRPr="0032073F">
                            <w:t xml:space="preserve">28. </w:t>
                          </w:r>
                          <w:proofErr w:type="spellStart"/>
                          <w:r w:rsidRPr="00CD58FC">
                            <w:t>Nombre</w:t>
                          </w:r>
                          <w:proofErr w:type="spellEnd"/>
                          <w:r w:rsidRPr="00CD58FC">
                            <w:t xml:space="preserve"> </w:t>
                          </w:r>
                          <w:r w:rsidRPr="0032073F">
                            <w:t>82</w:t>
                          </w:r>
                        </w:p>
                        <w:p w14:paraId="565D234C" w14:textId="4A356940" w:rsidR="00872BB8" w:rsidRDefault="00872BB8" w:rsidP="00A52C82">
                          <w:pPr>
                            <w:pStyle w:val="BodyText"/>
                            <w:tabs>
                              <w:tab w:val="right" w:pos="2947"/>
                            </w:tabs>
                            <w:spacing w:before="20"/>
                            <w:ind w:left="20"/>
                            <w:jc w:val="left"/>
                          </w:pPr>
                        </w:p>
                        <w:p w14:paraId="33F170AE" w14:textId="4E200C5A" w:rsidR="00A52C82" w:rsidRDefault="00A52C82" w:rsidP="00872BB8">
                          <w:pPr>
                            <w:pStyle w:val="BodyText"/>
                            <w:tabs>
                              <w:tab w:val="right" w:pos="2947"/>
                            </w:tabs>
                            <w:spacing w:before="20"/>
                            <w:ind w:left="0"/>
                            <w:jc w:val="left"/>
                            <w:rPr>
                              <w:sz w:val="20"/>
                            </w:rPr>
                          </w:pPr>
                          <w:r>
                            <w:rPr>
                              <w:color w:val="FFFFFF"/>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0.6pt;margin-top:758.15pt;width:166.95pt;height:15.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UtnQIAAJMFAAAOAAAAZHJzL2Uyb0RvYy54bWysVG1vmzAQ/j5p/8Hyd8pLSQIopGpC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" filled="f" stroked="f">
              <v:path arrowok="t"/>
              <v:textbox inset="0,0,0,0">
                <w:txbxContent>
                  <w:p w14:paraId="7E13A718" w14:textId="1BCC5325" w:rsidR="00F66197" w:rsidRDefault="00F66197" w:rsidP="00F66197">
                    <w:pPr>
                      <w:pStyle w:val="BodyText"/>
                      <w:tabs>
                        <w:tab w:val="right" w:pos="2947"/>
                      </w:tabs>
                      <w:spacing w:before="20"/>
                      <w:ind w:left="20"/>
                      <w:jc w:val="left"/>
                    </w:pPr>
                    <w:r w:rsidRPr="0032073F">
                      <w:t>D</w:t>
                    </w:r>
                    <w:r w:rsidRPr="0032073F">
                      <w:rPr>
                        <w:lang w:val="es-US"/>
                      </w:rPr>
                      <w:t>é</w:t>
                    </w:r>
                    <w:r w:rsidRPr="0032073F">
                      <w:t xml:space="preserve">cembre 2020. </w:t>
                    </w:r>
                    <w:r w:rsidRPr="0032073F">
                      <w:rPr>
                        <w:lang w:val="es-US"/>
                      </w:rPr>
                      <w:t xml:space="preserve">Année </w:t>
                    </w:r>
                    <w:r w:rsidRPr="0032073F">
                      <w:t xml:space="preserve">28. </w:t>
                    </w:r>
                    <w:r w:rsidRPr="00CD58FC">
                      <w:t xml:space="preserve">Nombre </w:t>
                    </w:r>
                    <w:r w:rsidRPr="0032073F">
                      <w:t>82</w:t>
                    </w:r>
                  </w:p>
                  <w:p w14:paraId="565D234C" w14:textId="4A356940" w:rsidR="00872BB8" w:rsidRDefault="00872BB8" w:rsidP="00A52C82">
                    <w:pPr>
                      <w:pStyle w:val="BodyText"/>
                      <w:tabs>
                        <w:tab w:val="right" w:pos="2947"/>
                      </w:tabs>
                      <w:spacing w:before="20"/>
                      <w:ind w:left="20"/>
                      <w:jc w:val="left"/>
                    </w:pPr>
                  </w:p>
                  <w:p w14:paraId="33F170AE" w14:textId="4E200C5A" w:rsidR="00A52C82" w:rsidRDefault="00A52C82" w:rsidP="00872BB8">
                    <w:pPr>
                      <w:pStyle w:val="BodyText"/>
                      <w:tabs>
                        <w:tab w:val="right" w:pos="2947"/>
                      </w:tabs>
                      <w:spacing w:before="20"/>
                      <w:ind w:left="0"/>
                      <w:jc w:val="left"/>
                      <w:rPr>
                        <w:sz w:val="20"/>
                      </w:rPr>
                    </w:pPr>
                    <w:r>
                      <w:rPr>
                        <w:color w:val="FFFFFF"/>
                        <w:sz w:val="20"/>
                      </w:rPr>
                      <w:tab/>
                    </w:r>
                  </w:p>
                </w:txbxContent>
              </v:textbox>
              <w10:wrap anchorx="page" anchory="page"/>
            </v:shape>
          </w:pict>
        </mc:Fallback>
      </mc:AlternateContent>
    </w:r>
    <w:r w:rsidRPr="00320AF8">
      <w:rPr>
        <w:noProof/>
        <w:sz w:val="20"/>
      </w:rPr>
      <w:drawing>
        <wp:anchor distT="0" distB="0" distL="0" distR="0" simplePos="0" relativeHeight="251667456" behindDoc="1" locked="0" layoutInCell="1" allowOverlap="1" wp14:anchorId="50BD6ECF" wp14:editId="5E05C6D0">
          <wp:simplePos x="0" y="0"/>
          <wp:positionH relativeFrom="page">
            <wp:posOffset>6960870</wp:posOffset>
          </wp:positionH>
          <wp:positionV relativeFrom="page">
            <wp:posOffset>9600565</wp:posOffset>
          </wp:positionV>
          <wp:extent cx="230505" cy="23050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0505" cy="23050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b/>
        <w:bCs/>
        <w:color w:val="FFFFFF" w:themeColor="background1"/>
      </w:rPr>
      <w:id w:val="-1856795244"/>
      <w:docPartObj>
        <w:docPartGallery w:val="Page Numbers (Bottom of Page)"/>
        <w:docPartUnique/>
      </w:docPartObj>
    </w:sdtPr>
    <w:sdtEndPr>
      <w:rPr>
        <w:rStyle w:val="PageNumber"/>
      </w:rPr>
    </w:sdtEndPr>
    <w:sdtContent>
      <w:p w14:paraId="75B3B745" w14:textId="77777777" w:rsidR="00A52C82" w:rsidRPr="00A52C82" w:rsidRDefault="00A52C82" w:rsidP="00A52C82">
        <w:pPr>
          <w:pStyle w:val="Footer"/>
          <w:framePr w:wrap="none" w:vAnchor="text" w:hAnchor="page" w:x="11102" w:y="303"/>
          <w:rPr>
            <w:rStyle w:val="PageNumber"/>
            <w:b/>
            <w:bCs/>
            <w:color w:val="FFFFFF" w:themeColor="background1"/>
          </w:rPr>
        </w:pPr>
        <w:r w:rsidRPr="00A52C82">
          <w:rPr>
            <w:rStyle w:val="PageNumber"/>
            <w:b/>
            <w:bCs/>
            <w:color w:val="FFFFFF" w:themeColor="background1"/>
          </w:rPr>
          <w:fldChar w:fldCharType="begin"/>
        </w:r>
        <w:r w:rsidRPr="00A52C82">
          <w:rPr>
            <w:rStyle w:val="PageNumber"/>
            <w:b/>
            <w:bCs/>
            <w:color w:val="FFFFFF" w:themeColor="background1"/>
          </w:rPr>
          <w:instrText xml:space="preserve"> PAGE </w:instrText>
        </w:r>
        <w:r w:rsidRPr="00A52C82">
          <w:rPr>
            <w:rStyle w:val="PageNumber"/>
            <w:b/>
            <w:bCs/>
            <w:color w:val="FFFFFF" w:themeColor="background1"/>
          </w:rPr>
          <w:fldChar w:fldCharType="separate"/>
        </w:r>
        <w:r w:rsidR="009C7270">
          <w:rPr>
            <w:rStyle w:val="PageNumber"/>
            <w:b/>
            <w:bCs/>
            <w:noProof/>
            <w:color w:val="FFFFFF" w:themeColor="background1"/>
          </w:rPr>
          <w:t>14</w:t>
        </w:r>
        <w:r w:rsidRPr="00A52C82">
          <w:rPr>
            <w:rStyle w:val="PageNumber"/>
            <w:b/>
            <w:bCs/>
            <w:color w:val="FFFFFF" w:themeColor="background1"/>
          </w:rPr>
          <w:fldChar w:fldCharType="end"/>
        </w:r>
      </w:p>
    </w:sdtContent>
  </w:sdt>
  <w:p w14:paraId="52030841" w14:textId="1B40F538" w:rsidR="00A52C82" w:rsidRDefault="00A52C82">
    <w:pPr>
      <w:pStyle w:val="Footer"/>
    </w:pPr>
    <w:r>
      <w:rPr>
        <w:noProof/>
      </w:rPr>
      <mc:AlternateContent>
        <mc:Choice Requires="wps">
          <w:drawing>
            <wp:anchor distT="0" distB="0" distL="114300" distR="114300" simplePos="0" relativeHeight="251661312" behindDoc="1" locked="0" layoutInCell="1" allowOverlap="1" wp14:anchorId="6733FEFB" wp14:editId="2D15B5CA">
              <wp:simplePos x="0" y="0"/>
              <wp:positionH relativeFrom="page">
                <wp:posOffset>4986182</wp:posOffset>
              </wp:positionH>
              <wp:positionV relativeFrom="page">
                <wp:posOffset>9617710</wp:posOffset>
              </wp:positionV>
              <wp:extent cx="2120265" cy="198120"/>
              <wp:effectExtent l="0" t="0" r="13335" b="114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2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B44E1" w14:textId="0E64C089" w:rsidR="00A52C82" w:rsidRDefault="00F66197" w:rsidP="00A52C82">
                          <w:pPr>
                            <w:pStyle w:val="BodyText"/>
                            <w:tabs>
                              <w:tab w:val="right" w:pos="2947"/>
                            </w:tabs>
                            <w:spacing w:before="20"/>
                            <w:ind w:left="20"/>
                            <w:jc w:val="left"/>
                            <w:rPr>
                              <w:sz w:val="20"/>
                            </w:rPr>
                          </w:pPr>
                          <w:proofErr w:type="gramStart"/>
                          <w:r w:rsidRPr="0032073F">
                            <w:t>D</w:t>
                          </w:r>
                          <w:r w:rsidRPr="0032073F">
                            <w:rPr>
                              <w:lang w:val="es-US"/>
                            </w:rPr>
                            <w:t>é</w:t>
                          </w:r>
                          <w:proofErr w:type="spellStart"/>
                          <w:r w:rsidRPr="0032073F">
                            <w:t>cembre</w:t>
                          </w:r>
                          <w:proofErr w:type="spellEnd"/>
                          <w:r w:rsidRPr="0032073F">
                            <w:t xml:space="preserve"> 2020.</w:t>
                          </w:r>
                          <w:proofErr w:type="gramEnd"/>
                          <w:r w:rsidRPr="0032073F">
                            <w:t xml:space="preserve"> </w:t>
                          </w:r>
                          <w:proofErr w:type="spellStart"/>
                          <w:r w:rsidRPr="0032073F">
                            <w:rPr>
                              <w:lang w:val="es-US"/>
                            </w:rPr>
                            <w:t>Année</w:t>
                          </w:r>
                          <w:proofErr w:type="spellEnd"/>
                          <w:r w:rsidRPr="0032073F">
                            <w:rPr>
                              <w:lang w:val="es-US"/>
                            </w:rPr>
                            <w:t xml:space="preserve"> </w:t>
                          </w:r>
                          <w:r w:rsidRPr="0032073F">
                            <w:t xml:space="preserve">28. </w:t>
                          </w:r>
                          <w:proofErr w:type="spellStart"/>
                          <w:r w:rsidRPr="00CD58FC">
                            <w:t>Nombre</w:t>
                          </w:r>
                          <w:proofErr w:type="spellEnd"/>
                          <w:r w:rsidRPr="00CD58FC">
                            <w:t xml:space="preserve"> </w:t>
                          </w:r>
                          <w:r w:rsidRPr="0032073F">
                            <w:t>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2.6pt;margin-top:757.3pt;width:166.95pt;height:1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" filled="f" stroked="f">
              <v:path arrowok="t"/>
              <v:textbox inset="0,0,0,0">
                <w:txbxContent>
                  <w:p w14:paraId="285B44E1" w14:textId="0E64C089" w:rsidR="00A52C82" w:rsidRDefault="00F66197" w:rsidP="00A52C82">
                    <w:pPr>
                      <w:pStyle w:val="BodyText"/>
                      <w:tabs>
                        <w:tab w:val="right" w:pos="2947"/>
                      </w:tabs>
                      <w:spacing w:before="20"/>
                      <w:ind w:left="20"/>
                      <w:jc w:val="left"/>
                      <w:rPr>
                        <w:sz w:val="20"/>
                      </w:rPr>
                    </w:pPr>
                    <w:r w:rsidRPr="0032073F">
                      <w:t>D</w:t>
                    </w:r>
                    <w:r w:rsidRPr="0032073F">
                      <w:rPr>
                        <w:lang w:val="es-US"/>
                      </w:rPr>
                      <w:t>é</w:t>
                    </w:r>
                    <w:r w:rsidRPr="0032073F">
                      <w:t xml:space="preserve">cembre 2020. </w:t>
                    </w:r>
                    <w:r w:rsidRPr="0032073F">
                      <w:rPr>
                        <w:lang w:val="es-US"/>
                      </w:rPr>
                      <w:t xml:space="preserve">Année </w:t>
                    </w:r>
                    <w:r w:rsidRPr="0032073F">
                      <w:t xml:space="preserve">28. </w:t>
                    </w:r>
                    <w:r w:rsidRPr="00CD58FC">
                      <w:t xml:space="preserve">Nombre </w:t>
                    </w:r>
                    <w:r w:rsidRPr="0032073F">
                      <w:t>82</w:t>
                    </w:r>
                  </w:p>
                </w:txbxContent>
              </v:textbox>
              <w10:wrap anchorx="page" anchory="page"/>
            </v:shape>
          </w:pict>
        </mc:Fallback>
      </mc:AlternateContent>
    </w:r>
    <w:r w:rsidRPr="00320AF8">
      <w:rPr>
        <w:noProof/>
        <w:sz w:val="20"/>
      </w:rPr>
      <w:drawing>
        <wp:anchor distT="0" distB="0" distL="0" distR="0" simplePos="0" relativeHeight="251663360" behindDoc="1" locked="0" layoutInCell="1" allowOverlap="1" wp14:anchorId="170008E9" wp14:editId="127501FB">
          <wp:simplePos x="0" y="0"/>
          <wp:positionH relativeFrom="page">
            <wp:posOffset>6974043</wp:posOffset>
          </wp:positionH>
          <wp:positionV relativeFrom="page">
            <wp:posOffset>9589770</wp:posOffset>
          </wp:positionV>
          <wp:extent cx="230505" cy="23050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0505" cy="230505"/>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1F585132" wp14:editId="1A2F9DD1">
              <wp:simplePos x="0" y="0"/>
              <wp:positionH relativeFrom="page">
                <wp:posOffset>5197475</wp:posOffset>
              </wp:positionH>
              <wp:positionV relativeFrom="page">
                <wp:posOffset>10234930</wp:posOffset>
              </wp:positionV>
              <wp:extent cx="2120265" cy="19812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2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A273" w14:textId="77777777" w:rsidR="00A52C82" w:rsidRDefault="00A52C82" w:rsidP="00A52C82">
                          <w:pPr>
                            <w:pStyle w:val="BodyText"/>
                            <w:tabs>
                              <w:tab w:val="right" w:pos="2947"/>
                            </w:tabs>
                            <w:spacing w:before="20"/>
                            <w:ind w:left="20"/>
                            <w:jc w:val="left"/>
                            <w:rPr>
                              <w:sz w:val="20"/>
                            </w:rPr>
                          </w:pPr>
                          <w:r>
                            <w:t xml:space="preserve">April 2021, 29th </w:t>
                          </w:r>
                          <w:r>
                            <w:rPr>
                              <w:spacing w:val="-6"/>
                            </w:rPr>
                            <w:t xml:space="preserve">Year, </w:t>
                          </w:r>
                          <w:r>
                            <w:t>Issue 83</w:t>
                          </w:r>
                          <w:r>
                            <w:rPr>
                              <w:color w:val="FFFFFF"/>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09.25pt;margin-top:805.9pt;width:166.95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" filled="f" stroked="f">
              <v:path arrowok="t"/>
              <v:textbox inset="0,0,0,0">
                <w:txbxContent>
                  <w:p w14:paraId="6503A273" w14:textId="77777777" w:rsidR="00A52C82" w:rsidRDefault="00A52C82" w:rsidP="00A52C82">
                    <w:pPr>
                      <w:pStyle w:val="BodyText"/>
                      <w:tabs>
                        <w:tab w:val="right" w:pos="2947"/>
                      </w:tabs>
                      <w:spacing w:before="20"/>
                      <w:ind w:left="20"/>
                      <w:jc w:val="left"/>
                      <w:rPr>
                        <w:sz w:val="20"/>
                      </w:rPr>
                    </w:pPr>
                    <w:r>
                      <w:t xml:space="preserve">April 2021, 29th </w:t>
                    </w:r>
                    <w:r>
                      <w:rPr>
                        <w:spacing w:val="-6"/>
                      </w:rPr>
                      <w:t xml:space="preserve">Year, </w:t>
                    </w:r>
                    <w:r>
                      <w:t>Issue 83</w:t>
                    </w:r>
                    <w:r>
                      <w:rPr>
                        <w:color w:val="FFFFFF"/>
                        <w:sz w:val="20"/>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8C821" w14:textId="77777777" w:rsidR="00D42754" w:rsidRDefault="00D42754" w:rsidP="007F0438">
      <w:pPr>
        <w:spacing w:after="0" w:line="240" w:lineRule="auto"/>
      </w:pPr>
      <w:r>
        <w:separator/>
      </w:r>
    </w:p>
  </w:footnote>
  <w:footnote w:type="continuationSeparator" w:id="0">
    <w:p w14:paraId="2F5C5BCF" w14:textId="77777777" w:rsidR="00D42754" w:rsidRDefault="00D42754" w:rsidP="007F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E7B8F" w14:paraId="76DF8F5F" w14:textId="77777777" w:rsidTr="005E7B8F">
      <w:tc>
        <w:tcPr>
          <w:tcW w:w="3116" w:type="dxa"/>
        </w:tcPr>
        <w:p w14:paraId="7DE519E4" w14:textId="2871F24E" w:rsidR="005E7B8F" w:rsidRPr="007B3CE7" w:rsidRDefault="005E7B8F" w:rsidP="007B3CE7">
          <w:pPr>
            <w:pStyle w:val="Header"/>
            <w:rPr>
              <w:rFonts w:ascii="Lato" w:hAnsi="Lato"/>
              <w:sz w:val="16"/>
              <w:szCs w:val="16"/>
            </w:rPr>
          </w:pPr>
          <w:r>
            <w:rPr>
              <w:rFonts w:ascii="Lato" w:hAnsi="Lato"/>
              <w:sz w:val="16"/>
              <w:szCs w:val="16"/>
            </w:rPr>
            <w:t>Coaching &amp; Sport Science Review</w:t>
          </w:r>
        </w:p>
      </w:tc>
      <w:tc>
        <w:tcPr>
          <w:tcW w:w="3117" w:type="dxa"/>
        </w:tcPr>
        <w:p w14:paraId="591F4546" w14:textId="77777777" w:rsidR="005E7B8F" w:rsidRPr="007B3CE7" w:rsidRDefault="005E7B8F" w:rsidP="007B3CE7">
          <w:pPr>
            <w:pStyle w:val="Header"/>
            <w:rPr>
              <w:rFonts w:ascii="Lato" w:hAnsi="Lato"/>
              <w:sz w:val="16"/>
              <w:szCs w:val="16"/>
            </w:rPr>
          </w:pPr>
        </w:p>
      </w:tc>
      <w:tc>
        <w:tcPr>
          <w:tcW w:w="3117" w:type="dxa"/>
        </w:tcPr>
        <w:p w14:paraId="1FB17B9A" w14:textId="3B1E466F" w:rsidR="005E7B8F" w:rsidRPr="007B3CE7" w:rsidRDefault="005E7B8F" w:rsidP="007B3CE7">
          <w:pPr>
            <w:pStyle w:val="Header"/>
            <w:jc w:val="right"/>
            <w:rPr>
              <w:rFonts w:ascii="Lato" w:hAnsi="Lato"/>
              <w:sz w:val="16"/>
              <w:szCs w:val="16"/>
            </w:rPr>
          </w:pPr>
          <w:proofErr w:type="spellStart"/>
          <w:r w:rsidRPr="00D76CC7">
            <w:rPr>
              <w:rFonts w:ascii="Lato" w:hAnsi="Lato"/>
              <w:sz w:val="16"/>
              <w:szCs w:val="16"/>
              <w:lang w:val="es-US"/>
            </w:rPr>
            <w:t>Fédération</w:t>
          </w:r>
          <w:proofErr w:type="spellEnd"/>
          <w:r w:rsidRPr="00D76CC7">
            <w:rPr>
              <w:rFonts w:ascii="Lato" w:hAnsi="Lato"/>
              <w:sz w:val="16"/>
              <w:szCs w:val="16"/>
              <w:lang w:val="es-US"/>
            </w:rPr>
            <w:t xml:space="preserve"> </w:t>
          </w:r>
          <w:proofErr w:type="spellStart"/>
          <w:r w:rsidRPr="00D76CC7">
            <w:rPr>
              <w:rFonts w:ascii="Lato" w:hAnsi="Lato"/>
              <w:sz w:val="16"/>
              <w:szCs w:val="16"/>
              <w:lang w:val="es-US"/>
            </w:rPr>
            <w:t>Internationale</w:t>
          </w:r>
          <w:proofErr w:type="spellEnd"/>
          <w:r w:rsidRPr="00D76CC7">
            <w:rPr>
              <w:rFonts w:ascii="Lato" w:hAnsi="Lato"/>
              <w:sz w:val="16"/>
              <w:szCs w:val="16"/>
              <w:lang w:val="es-US"/>
            </w:rPr>
            <w:t xml:space="preserve"> de </w:t>
          </w:r>
          <w:proofErr w:type="spellStart"/>
          <w:r w:rsidRPr="00D76CC7">
            <w:rPr>
              <w:rFonts w:ascii="Lato" w:hAnsi="Lato"/>
              <w:sz w:val="16"/>
              <w:szCs w:val="16"/>
              <w:lang w:val="es-US"/>
            </w:rPr>
            <w:t>Tennis</w:t>
          </w:r>
          <w:proofErr w:type="spellEnd"/>
        </w:p>
      </w:tc>
    </w:tr>
  </w:tbl>
  <w:p w14:paraId="1AA40B4E" w14:textId="5B7D3570" w:rsidR="007B3CE7" w:rsidRPr="007B3CE7" w:rsidRDefault="007B3CE7" w:rsidP="007B3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6"/>
      <w:gridCol w:w="237"/>
      <w:gridCol w:w="3556"/>
    </w:tblGrid>
    <w:tr w:rsidR="007F0438" w14:paraId="0EF39EB9" w14:textId="77777777" w:rsidTr="00935D30">
      <w:trPr>
        <w:trHeight w:val="1326"/>
      </w:trPr>
      <w:tc>
        <w:tcPr>
          <w:tcW w:w="6808" w:type="dxa"/>
        </w:tcPr>
        <w:p w14:paraId="75BF06F0" w14:textId="01A70AA3" w:rsidR="0013251A" w:rsidRDefault="0013251A" w:rsidP="007F0438">
          <w:pPr>
            <w:pStyle w:val="Header"/>
            <w:rPr>
              <w:noProof/>
            </w:rPr>
          </w:pPr>
          <w:r>
            <w:rPr>
              <w:noProof/>
            </w:rPr>
            <w:drawing>
              <wp:inline distT="0" distB="0" distL="0" distR="0" wp14:anchorId="004FB9DA" wp14:editId="0D99A13D">
                <wp:extent cx="3832529" cy="636104"/>
                <wp:effectExtent l="0" t="0" r="0" b="0"/>
                <wp:docPr id="50" name="Picture 50" descr="ITF Coaching &amp; Sport Scienc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F Coaching &amp; Sport Science Review"/>
                        <pic:cNvPicPr>
                          <a:picLocks noChangeAspect="1" noChangeArrowheads="1"/>
                        </pic:cNvPicPr>
                      </pic:nvPicPr>
                      <pic:blipFill rotWithShape="1">
                        <a:blip r:embed="rId1">
                          <a:extLst>
                            <a:ext uri="{28A0092B-C50C-407E-A947-70E740481C1C}">
                              <a14:useLocalDpi xmlns:a14="http://schemas.microsoft.com/office/drawing/2010/main" val="0"/>
                            </a:ext>
                          </a:extLst>
                        </a:blip>
                        <a:srcRect r="2673"/>
                        <a:stretch/>
                      </pic:blipFill>
                      <pic:spPr bwMode="auto">
                        <a:xfrm>
                          <a:off x="0" y="0"/>
                          <a:ext cx="3922211" cy="650989"/>
                        </a:xfrm>
                        <a:prstGeom prst="rect">
                          <a:avLst/>
                        </a:prstGeom>
                        <a:noFill/>
                        <a:ln>
                          <a:noFill/>
                        </a:ln>
                        <a:extLst>
                          <a:ext uri="{53640926-AAD7-44D8-BBD7-CCE9431645EC}">
                            <a14:shadowObscured xmlns:a14="http://schemas.microsoft.com/office/drawing/2010/main"/>
                          </a:ext>
                        </a:extLst>
                      </pic:spPr>
                    </pic:pic>
                  </a:graphicData>
                </a:graphic>
              </wp:inline>
            </w:drawing>
          </w:r>
        </w:p>
        <w:p w14:paraId="213EF742" w14:textId="68507F56" w:rsidR="007F0438" w:rsidRDefault="007F0438" w:rsidP="007F0438">
          <w:pPr>
            <w:pStyle w:val="Header"/>
          </w:pPr>
        </w:p>
      </w:tc>
      <w:tc>
        <w:tcPr>
          <w:tcW w:w="242" w:type="dxa"/>
        </w:tcPr>
        <w:p w14:paraId="07A072D3" w14:textId="77777777" w:rsidR="007F0438" w:rsidRDefault="007F0438" w:rsidP="007F0438">
          <w:pPr>
            <w:pStyle w:val="Header"/>
          </w:pPr>
        </w:p>
      </w:tc>
      <w:tc>
        <w:tcPr>
          <w:tcW w:w="3419" w:type="dxa"/>
        </w:tcPr>
        <w:p w14:paraId="140D6A77" w14:textId="77777777" w:rsidR="00D76CC7" w:rsidRPr="00D76CC7" w:rsidRDefault="00D76CC7" w:rsidP="00D76CC7">
          <w:pPr>
            <w:pStyle w:val="Header"/>
            <w:spacing w:after="20"/>
            <w:jc w:val="right"/>
            <w:rPr>
              <w:rFonts w:ascii="Lato" w:hAnsi="Lato"/>
              <w:sz w:val="16"/>
              <w:szCs w:val="16"/>
              <w:lang w:val="es-US"/>
            </w:rPr>
          </w:pPr>
          <w:proofErr w:type="spellStart"/>
          <w:r w:rsidRPr="00D76CC7">
            <w:rPr>
              <w:rFonts w:ascii="Lato" w:hAnsi="Lato"/>
              <w:sz w:val="16"/>
              <w:szCs w:val="16"/>
              <w:lang w:val="es-US"/>
            </w:rPr>
            <w:t>Fédération</w:t>
          </w:r>
          <w:proofErr w:type="spellEnd"/>
          <w:r w:rsidRPr="00D76CC7">
            <w:rPr>
              <w:rFonts w:ascii="Lato" w:hAnsi="Lato"/>
              <w:sz w:val="16"/>
              <w:szCs w:val="16"/>
              <w:lang w:val="es-US"/>
            </w:rPr>
            <w:t xml:space="preserve"> </w:t>
          </w:r>
          <w:proofErr w:type="spellStart"/>
          <w:r w:rsidRPr="00D76CC7">
            <w:rPr>
              <w:rFonts w:ascii="Lato" w:hAnsi="Lato"/>
              <w:sz w:val="16"/>
              <w:szCs w:val="16"/>
              <w:lang w:val="es-US"/>
            </w:rPr>
            <w:t>Internationale</w:t>
          </w:r>
          <w:proofErr w:type="spellEnd"/>
          <w:r w:rsidRPr="00D76CC7">
            <w:rPr>
              <w:rFonts w:ascii="Lato" w:hAnsi="Lato"/>
              <w:sz w:val="16"/>
              <w:szCs w:val="16"/>
              <w:lang w:val="es-US"/>
            </w:rPr>
            <w:t xml:space="preserve"> de </w:t>
          </w:r>
          <w:proofErr w:type="spellStart"/>
          <w:r w:rsidRPr="00D76CC7">
            <w:rPr>
              <w:rFonts w:ascii="Lato" w:hAnsi="Lato"/>
              <w:sz w:val="16"/>
              <w:szCs w:val="16"/>
              <w:lang w:val="es-US"/>
            </w:rPr>
            <w:t>Tennis</w:t>
          </w:r>
          <w:proofErr w:type="spellEnd"/>
        </w:p>
        <w:p w14:paraId="61BA1D49" w14:textId="77777777" w:rsidR="00D76CC7" w:rsidRPr="00D76CC7" w:rsidRDefault="00D42754" w:rsidP="00D76CC7">
          <w:pPr>
            <w:pStyle w:val="Header"/>
            <w:spacing w:after="20"/>
            <w:jc w:val="right"/>
            <w:rPr>
              <w:rFonts w:ascii="Lato" w:hAnsi="Lato"/>
              <w:sz w:val="16"/>
              <w:szCs w:val="16"/>
            </w:rPr>
          </w:pPr>
          <w:hyperlink r:id="rId2" w:history="1">
            <w:r w:rsidR="00D76CC7" w:rsidRPr="00D76CC7">
              <w:rPr>
                <w:rStyle w:val="Hyperlink"/>
                <w:rFonts w:ascii="Lato" w:hAnsi="Lato"/>
                <w:sz w:val="16"/>
                <w:szCs w:val="16"/>
              </w:rPr>
              <w:t>www.itfcoachingreview.com</w:t>
            </w:r>
          </w:hyperlink>
        </w:p>
        <w:p w14:paraId="3C02735A" w14:textId="26388FA4" w:rsidR="00D76CC7" w:rsidRPr="00D76CC7" w:rsidRDefault="00D76CC7" w:rsidP="00D76CC7">
          <w:pPr>
            <w:jc w:val="right"/>
            <w:rPr>
              <w:rFonts w:ascii="Lato-Regular" w:hAnsi="Lato-Regular"/>
              <w:sz w:val="16"/>
              <w:szCs w:val="16"/>
            </w:rPr>
          </w:pPr>
          <w:r w:rsidRPr="00D76CC7">
            <w:rPr>
              <w:rFonts w:ascii="Lato-Regular" w:hAnsi="Lato-Regular"/>
              <w:sz w:val="16"/>
              <w:szCs w:val="16"/>
            </w:rPr>
            <w:t>D</w:t>
          </w:r>
          <w:r w:rsidRPr="00D76CC7">
            <w:rPr>
              <w:rFonts w:ascii="Lato" w:hAnsi="Lato"/>
              <w:sz w:val="16"/>
              <w:szCs w:val="16"/>
              <w:lang w:val="es-US"/>
            </w:rPr>
            <w:t>é</w:t>
          </w:r>
          <w:proofErr w:type="spellStart"/>
          <w:r w:rsidRPr="00D76CC7">
            <w:rPr>
              <w:rFonts w:ascii="Lato-Regular" w:hAnsi="Lato-Regular"/>
              <w:sz w:val="16"/>
              <w:szCs w:val="16"/>
            </w:rPr>
            <w:t>cembre</w:t>
          </w:r>
          <w:proofErr w:type="spellEnd"/>
          <w:r w:rsidRPr="00D76CC7">
            <w:rPr>
              <w:rFonts w:ascii="Lato-Regular" w:hAnsi="Lato-Regular"/>
              <w:sz w:val="16"/>
              <w:szCs w:val="16"/>
            </w:rPr>
            <w:t xml:space="preserve"> 2020. </w:t>
          </w:r>
          <w:proofErr w:type="spellStart"/>
          <w:r w:rsidRPr="00D76CC7">
            <w:rPr>
              <w:rFonts w:ascii="Lato" w:hAnsi="Lato"/>
              <w:sz w:val="16"/>
              <w:szCs w:val="16"/>
              <w:lang w:val="es-US"/>
            </w:rPr>
            <w:t>Année</w:t>
          </w:r>
          <w:proofErr w:type="spellEnd"/>
          <w:r w:rsidRPr="00D76CC7">
            <w:rPr>
              <w:rFonts w:ascii="Lato" w:hAnsi="Lato"/>
              <w:sz w:val="16"/>
              <w:szCs w:val="16"/>
              <w:lang w:val="es-US"/>
            </w:rPr>
            <w:t xml:space="preserve"> </w:t>
          </w:r>
          <w:r w:rsidRPr="00D76CC7">
            <w:rPr>
              <w:rFonts w:ascii="Lato-Regular" w:hAnsi="Lato-Regular"/>
              <w:sz w:val="16"/>
              <w:szCs w:val="16"/>
            </w:rPr>
            <w:t xml:space="preserve">28. </w:t>
          </w:r>
          <w:proofErr w:type="spellStart"/>
          <w:r w:rsidRPr="00D76CC7">
            <w:rPr>
              <w:rFonts w:ascii="Lato" w:hAnsi="Lato"/>
              <w:sz w:val="16"/>
              <w:szCs w:val="16"/>
            </w:rPr>
            <w:t>Nombre</w:t>
          </w:r>
          <w:proofErr w:type="spellEnd"/>
          <w:r w:rsidRPr="00D76CC7">
            <w:rPr>
              <w:rFonts w:ascii="Lato" w:hAnsi="Lato"/>
              <w:sz w:val="16"/>
              <w:szCs w:val="16"/>
            </w:rPr>
            <w:t xml:space="preserve"> </w:t>
          </w:r>
          <w:r w:rsidR="00935D30">
            <w:rPr>
              <w:rFonts w:ascii="Lato-Regular" w:hAnsi="Lato-Regular"/>
              <w:sz w:val="16"/>
              <w:szCs w:val="16"/>
            </w:rPr>
            <w:t>82. 14-17</w:t>
          </w:r>
        </w:p>
        <w:p w14:paraId="681A887A" w14:textId="77777777" w:rsidR="00935D30" w:rsidRDefault="00D76CC7" w:rsidP="00935D30">
          <w:pPr>
            <w:pStyle w:val="Header"/>
            <w:spacing w:after="20"/>
            <w:jc w:val="right"/>
            <w:rPr>
              <w:rFonts w:ascii="Lato" w:hAnsi="Lato"/>
              <w:sz w:val="16"/>
              <w:szCs w:val="16"/>
            </w:rPr>
          </w:pPr>
          <w:r w:rsidRPr="00D76CC7">
            <w:rPr>
              <w:rFonts w:ascii="Lato" w:hAnsi="Lato"/>
              <w:sz w:val="16"/>
              <w:szCs w:val="16"/>
            </w:rPr>
            <w:t>ISSN 2225-4757</w:t>
          </w:r>
        </w:p>
        <w:p w14:paraId="63E98CF0" w14:textId="70E7C401" w:rsidR="0013251A" w:rsidRDefault="00D42754" w:rsidP="00935D30">
          <w:pPr>
            <w:pStyle w:val="Header"/>
            <w:spacing w:after="20"/>
            <w:jc w:val="center"/>
            <w:rPr>
              <w:rFonts w:ascii="Lato" w:hAnsi="Lato"/>
              <w:sz w:val="16"/>
              <w:szCs w:val="16"/>
            </w:rPr>
          </w:pPr>
          <w:hyperlink r:id="rId3" w:history="1">
            <w:r w:rsidR="00935D30" w:rsidRPr="00BB57B0">
              <w:rPr>
                <w:rStyle w:val="Hyperlink"/>
                <w:rFonts w:ascii="Lato" w:hAnsi="Lato"/>
                <w:sz w:val="16"/>
                <w:szCs w:val="16"/>
              </w:rPr>
              <w:t xml:space="preserve">https://doi.org/10.52383/itfcoaching.v28i82.14 </w:t>
            </w:r>
          </w:hyperlink>
        </w:p>
        <w:p w14:paraId="49972053" w14:textId="77777777" w:rsidR="004565C5" w:rsidRPr="00D76CC7" w:rsidRDefault="004565C5" w:rsidP="0013251A">
          <w:pPr>
            <w:pStyle w:val="Header"/>
            <w:jc w:val="right"/>
            <w:rPr>
              <w:rFonts w:ascii="Lato" w:hAnsi="Lato"/>
              <w:sz w:val="16"/>
              <w:szCs w:val="16"/>
            </w:rPr>
          </w:pPr>
        </w:p>
        <w:p w14:paraId="3161C5F2" w14:textId="2D63ACD1" w:rsidR="0013251A" w:rsidRPr="0013251A" w:rsidRDefault="0013251A" w:rsidP="0013251A">
          <w:pPr>
            <w:pStyle w:val="Header"/>
            <w:jc w:val="right"/>
            <w:rPr>
              <w:rFonts w:ascii="Lato" w:hAnsi="Lato"/>
              <w:sz w:val="16"/>
              <w:szCs w:val="16"/>
            </w:rPr>
          </w:pPr>
        </w:p>
      </w:tc>
    </w:tr>
  </w:tbl>
  <w:p w14:paraId="726EA28A" w14:textId="6A07E187" w:rsidR="007F0438" w:rsidRDefault="007F0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E7B8F" w14:paraId="3F5AB99C" w14:textId="77777777" w:rsidTr="005E7B8F">
      <w:tc>
        <w:tcPr>
          <w:tcW w:w="3116" w:type="dxa"/>
        </w:tcPr>
        <w:p w14:paraId="36AE103C" w14:textId="77777777" w:rsidR="005E7B8F" w:rsidRPr="007B3CE7" w:rsidRDefault="005E7B8F" w:rsidP="007B3CE7">
          <w:pPr>
            <w:pStyle w:val="Header"/>
            <w:rPr>
              <w:rFonts w:ascii="Lato" w:hAnsi="Lato"/>
              <w:sz w:val="16"/>
              <w:szCs w:val="16"/>
            </w:rPr>
          </w:pPr>
          <w:r>
            <w:rPr>
              <w:rFonts w:ascii="Lato" w:hAnsi="Lato"/>
              <w:sz w:val="16"/>
              <w:szCs w:val="16"/>
            </w:rPr>
            <w:t>Coaching &amp; Sport Science Review</w:t>
          </w:r>
        </w:p>
      </w:tc>
      <w:tc>
        <w:tcPr>
          <w:tcW w:w="3117" w:type="dxa"/>
        </w:tcPr>
        <w:p w14:paraId="4EB193EE" w14:textId="77777777" w:rsidR="005E7B8F" w:rsidRPr="007B3CE7" w:rsidRDefault="005E7B8F" w:rsidP="007B3CE7">
          <w:pPr>
            <w:pStyle w:val="Header"/>
            <w:rPr>
              <w:rFonts w:ascii="Lato" w:hAnsi="Lato"/>
              <w:sz w:val="16"/>
              <w:szCs w:val="16"/>
            </w:rPr>
          </w:pPr>
        </w:p>
      </w:tc>
      <w:tc>
        <w:tcPr>
          <w:tcW w:w="3117" w:type="dxa"/>
        </w:tcPr>
        <w:p w14:paraId="0D84EBE7" w14:textId="77777777" w:rsidR="005E7B8F" w:rsidRPr="007B3CE7" w:rsidRDefault="005E7B8F" w:rsidP="007B3CE7">
          <w:pPr>
            <w:pStyle w:val="Header"/>
            <w:jc w:val="right"/>
            <w:rPr>
              <w:rFonts w:ascii="Lato" w:hAnsi="Lato"/>
              <w:sz w:val="16"/>
              <w:szCs w:val="16"/>
            </w:rPr>
          </w:pPr>
          <w:proofErr w:type="spellStart"/>
          <w:r w:rsidRPr="00D76CC7">
            <w:rPr>
              <w:rFonts w:ascii="Lato" w:hAnsi="Lato"/>
              <w:sz w:val="16"/>
              <w:szCs w:val="16"/>
              <w:lang w:val="es-US"/>
            </w:rPr>
            <w:t>Fédération</w:t>
          </w:r>
          <w:proofErr w:type="spellEnd"/>
          <w:r w:rsidRPr="00D76CC7">
            <w:rPr>
              <w:rFonts w:ascii="Lato" w:hAnsi="Lato"/>
              <w:sz w:val="16"/>
              <w:szCs w:val="16"/>
              <w:lang w:val="es-US"/>
            </w:rPr>
            <w:t xml:space="preserve"> </w:t>
          </w:r>
          <w:proofErr w:type="spellStart"/>
          <w:r w:rsidRPr="00D76CC7">
            <w:rPr>
              <w:rFonts w:ascii="Lato" w:hAnsi="Lato"/>
              <w:sz w:val="16"/>
              <w:szCs w:val="16"/>
              <w:lang w:val="es-US"/>
            </w:rPr>
            <w:t>Internationale</w:t>
          </w:r>
          <w:proofErr w:type="spellEnd"/>
          <w:r w:rsidRPr="00D76CC7">
            <w:rPr>
              <w:rFonts w:ascii="Lato" w:hAnsi="Lato"/>
              <w:sz w:val="16"/>
              <w:szCs w:val="16"/>
              <w:lang w:val="es-US"/>
            </w:rPr>
            <w:t xml:space="preserve"> de </w:t>
          </w:r>
          <w:proofErr w:type="spellStart"/>
          <w:r w:rsidRPr="00D76CC7">
            <w:rPr>
              <w:rFonts w:ascii="Lato" w:hAnsi="Lato"/>
              <w:sz w:val="16"/>
              <w:szCs w:val="16"/>
              <w:lang w:val="es-US"/>
            </w:rPr>
            <w:t>Tennis</w:t>
          </w:r>
          <w:proofErr w:type="spellEnd"/>
        </w:p>
      </w:tc>
    </w:tr>
  </w:tbl>
  <w:p w14:paraId="168F7476" w14:textId="77777777" w:rsidR="005E7B8F" w:rsidRPr="007B3CE7" w:rsidRDefault="005E7B8F" w:rsidP="007B3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4E1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A45D4"/>
    <w:multiLevelType w:val="multilevel"/>
    <w:tmpl w:val="E9805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38"/>
    <w:rsid w:val="00043B0F"/>
    <w:rsid w:val="00084C1D"/>
    <w:rsid w:val="00095D27"/>
    <w:rsid w:val="000B751F"/>
    <w:rsid w:val="0010780F"/>
    <w:rsid w:val="0013251A"/>
    <w:rsid w:val="00146847"/>
    <w:rsid w:val="001538E0"/>
    <w:rsid w:val="001B4A4F"/>
    <w:rsid w:val="001F6A48"/>
    <w:rsid w:val="00247DB1"/>
    <w:rsid w:val="0025568E"/>
    <w:rsid w:val="00295A3F"/>
    <w:rsid w:val="002F0D43"/>
    <w:rsid w:val="00320A14"/>
    <w:rsid w:val="003529F9"/>
    <w:rsid w:val="003A4A2F"/>
    <w:rsid w:val="003E21CB"/>
    <w:rsid w:val="00435544"/>
    <w:rsid w:val="00435C35"/>
    <w:rsid w:val="00443A3C"/>
    <w:rsid w:val="004565C5"/>
    <w:rsid w:val="00466A9F"/>
    <w:rsid w:val="004E419F"/>
    <w:rsid w:val="00575D34"/>
    <w:rsid w:val="0058695D"/>
    <w:rsid w:val="0059712D"/>
    <w:rsid w:val="005A560B"/>
    <w:rsid w:val="005A7591"/>
    <w:rsid w:val="005B4457"/>
    <w:rsid w:val="005E3453"/>
    <w:rsid w:val="005E54B4"/>
    <w:rsid w:val="005E7B8F"/>
    <w:rsid w:val="006B4B9D"/>
    <w:rsid w:val="006E6552"/>
    <w:rsid w:val="006F372E"/>
    <w:rsid w:val="00707C94"/>
    <w:rsid w:val="007557AB"/>
    <w:rsid w:val="00771EE8"/>
    <w:rsid w:val="0079738E"/>
    <w:rsid w:val="007B3CE7"/>
    <w:rsid w:val="007C4FD9"/>
    <w:rsid w:val="007D15CE"/>
    <w:rsid w:val="007E3B99"/>
    <w:rsid w:val="007E3C9A"/>
    <w:rsid w:val="007F0438"/>
    <w:rsid w:val="00805539"/>
    <w:rsid w:val="00844014"/>
    <w:rsid w:val="00844E54"/>
    <w:rsid w:val="00851C21"/>
    <w:rsid w:val="008721BB"/>
    <w:rsid w:val="00872BB8"/>
    <w:rsid w:val="00872F8D"/>
    <w:rsid w:val="008734F5"/>
    <w:rsid w:val="00873572"/>
    <w:rsid w:val="008823C3"/>
    <w:rsid w:val="00894306"/>
    <w:rsid w:val="008E16FB"/>
    <w:rsid w:val="008F4912"/>
    <w:rsid w:val="00932397"/>
    <w:rsid w:val="00935D30"/>
    <w:rsid w:val="00940F26"/>
    <w:rsid w:val="009C7270"/>
    <w:rsid w:val="009D4779"/>
    <w:rsid w:val="00A012BC"/>
    <w:rsid w:val="00A07339"/>
    <w:rsid w:val="00A52C82"/>
    <w:rsid w:val="00A96AB2"/>
    <w:rsid w:val="00AB0315"/>
    <w:rsid w:val="00AB3A5D"/>
    <w:rsid w:val="00AC14E9"/>
    <w:rsid w:val="00AF2170"/>
    <w:rsid w:val="00B34C60"/>
    <w:rsid w:val="00B54298"/>
    <w:rsid w:val="00B83577"/>
    <w:rsid w:val="00B83627"/>
    <w:rsid w:val="00BA3AC8"/>
    <w:rsid w:val="00BD0212"/>
    <w:rsid w:val="00BD385D"/>
    <w:rsid w:val="00BF72E6"/>
    <w:rsid w:val="00C242B7"/>
    <w:rsid w:val="00C33690"/>
    <w:rsid w:val="00C80C3E"/>
    <w:rsid w:val="00CC509E"/>
    <w:rsid w:val="00CE0A98"/>
    <w:rsid w:val="00CE1D43"/>
    <w:rsid w:val="00D01D96"/>
    <w:rsid w:val="00D42754"/>
    <w:rsid w:val="00D42F79"/>
    <w:rsid w:val="00D654F5"/>
    <w:rsid w:val="00D67600"/>
    <w:rsid w:val="00D76CC7"/>
    <w:rsid w:val="00DA1D83"/>
    <w:rsid w:val="00E459CE"/>
    <w:rsid w:val="00E641B9"/>
    <w:rsid w:val="00EA28D2"/>
    <w:rsid w:val="00EA4010"/>
    <w:rsid w:val="00EC04A7"/>
    <w:rsid w:val="00F53059"/>
    <w:rsid w:val="00F66197"/>
    <w:rsid w:val="00F86702"/>
    <w:rsid w:val="00FC769B"/>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3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438"/>
  </w:style>
  <w:style w:type="paragraph" w:styleId="Footer">
    <w:name w:val="footer"/>
    <w:basedOn w:val="Normal"/>
    <w:link w:val="FooterChar"/>
    <w:uiPriority w:val="99"/>
    <w:unhideWhenUsed/>
    <w:rsid w:val="007F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438"/>
  </w:style>
  <w:style w:type="table" w:styleId="TableGrid">
    <w:name w:val="Table Grid"/>
    <w:basedOn w:val="TableNormal"/>
    <w:uiPriority w:val="39"/>
    <w:rsid w:val="007F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0438"/>
    <w:rPr>
      <w:color w:val="0563C1" w:themeColor="hyperlink"/>
      <w:u w:val="single"/>
    </w:rPr>
  </w:style>
  <w:style w:type="character" w:customStyle="1" w:styleId="UnresolvedMention">
    <w:name w:val="Unresolved Mention"/>
    <w:basedOn w:val="DefaultParagraphFont"/>
    <w:uiPriority w:val="99"/>
    <w:semiHidden/>
    <w:unhideWhenUsed/>
    <w:rsid w:val="007F0438"/>
    <w:rPr>
      <w:color w:val="605E5C"/>
      <w:shd w:val="clear" w:color="auto" w:fill="E1DFDD"/>
    </w:rPr>
  </w:style>
  <w:style w:type="character" w:customStyle="1" w:styleId="fontstyle01">
    <w:name w:val="fontstyle01"/>
    <w:basedOn w:val="DefaultParagraphFont"/>
    <w:rsid w:val="002F0D43"/>
    <w:rPr>
      <w:rFonts w:ascii="Lato-Regular" w:hAnsi="Lato-Regular" w:hint="default"/>
      <w:b w:val="0"/>
      <w:bCs w:val="0"/>
      <w:i w:val="0"/>
      <w:iCs w:val="0"/>
      <w:color w:val="000000"/>
      <w:sz w:val="20"/>
      <w:szCs w:val="20"/>
    </w:rPr>
  </w:style>
  <w:style w:type="character" w:customStyle="1" w:styleId="fontstyle21">
    <w:name w:val="fontstyle21"/>
    <w:basedOn w:val="DefaultParagraphFont"/>
    <w:rsid w:val="002F0D43"/>
    <w:rPr>
      <w:rFonts w:ascii="Lato-Bold" w:hAnsi="Lato-Bold" w:hint="default"/>
      <w:b/>
      <w:bCs/>
      <w:i w:val="0"/>
      <w:iCs w:val="0"/>
      <w:color w:val="000000"/>
      <w:sz w:val="14"/>
      <w:szCs w:val="14"/>
    </w:rPr>
  </w:style>
  <w:style w:type="character" w:customStyle="1" w:styleId="fontstyle11">
    <w:name w:val="fontstyle11"/>
    <w:basedOn w:val="DefaultParagraphFont"/>
    <w:rsid w:val="002F0D43"/>
    <w:rPr>
      <w:rFonts w:ascii="Lato-Regular" w:hAnsi="Lato-Regular" w:hint="default"/>
      <w:b w:val="0"/>
      <w:bCs w:val="0"/>
      <w:i w:val="0"/>
      <w:iCs w:val="0"/>
      <w:color w:val="000000"/>
      <w:sz w:val="18"/>
      <w:szCs w:val="18"/>
    </w:rPr>
  </w:style>
  <w:style w:type="character" w:styleId="FollowedHyperlink">
    <w:name w:val="FollowedHyperlink"/>
    <w:basedOn w:val="DefaultParagraphFont"/>
    <w:uiPriority w:val="99"/>
    <w:semiHidden/>
    <w:unhideWhenUsed/>
    <w:rsid w:val="00435C35"/>
    <w:rPr>
      <w:color w:val="954F72" w:themeColor="followedHyperlink"/>
      <w:u w:val="single"/>
    </w:rPr>
  </w:style>
  <w:style w:type="paragraph" w:styleId="BodyText">
    <w:name w:val="Body Text"/>
    <w:basedOn w:val="Normal"/>
    <w:link w:val="BodyTextChar"/>
    <w:uiPriority w:val="1"/>
    <w:qFormat/>
    <w:rsid w:val="00A52C82"/>
    <w:pPr>
      <w:widowControl w:val="0"/>
      <w:autoSpaceDE w:val="0"/>
      <w:autoSpaceDN w:val="0"/>
      <w:spacing w:after="0" w:line="240" w:lineRule="auto"/>
      <w:ind w:left="113"/>
      <w:jc w:val="both"/>
    </w:pPr>
    <w:rPr>
      <w:rFonts w:ascii="Lato" w:eastAsia="Lato" w:hAnsi="Lato" w:cs="Lato"/>
      <w:sz w:val="18"/>
      <w:szCs w:val="18"/>
    </w:rPr>
  </w:style>
  <w:style w:type="character" w:customStyle="1" w:styleId="BodyTextChar">
    <w:name w:val="Body Text Char"/>
    <w:basedOn w:val="DefaultParagraphFont"/>
    <w:link w:val="BodyText"/>
    <w:uiPriority w:val="1"/>
    <w:rsid w:val="00A52C82"/>
    <w:rPr>
      <w:rFonts w:ascii="Lato" w:eastAsia="Lato" w:hAnsi="Lato" w:cs="Lato"/>
      <w:sz w:val="18"/>
      <w:szCs w:val="18"/>
    </w:rPr>
  </w:style>
  <w:style w:type="character" w:styleId="PageNumber">
    <w:name w:val="page number"/>
    <w:basedOn w:val="DefaultParagraphFont"/>
    <w:uiPriority w:val="99"/>
    <w:semiHidden/>
    <w:unhideWhenUsed/>
    <w:rsid w:val="00A52C82"/>
  </w:style>
  <w:style w:type="paragraph" w:styleId="ListParagraph">
    <w:name w:val="List Paragraph"/>
    <w:basedOn w:val="Normal"/>
    <w:uiPriority w:val="34"/>
    <w:qFormat/>
    <w:rsid w:val="00247DB1"/>
    <w:pPr>
      <w:ind w:left="720"/>
      <w:contextualSpacing/>
    </w:pPr>
  </w:style>
  <w:style w:type="paragraph" w:styleId="BalloonText">
    <w:name w:val="Balloon Text"/>
    <w:basedOn w:val="Normal"/>
    <w:link w:val="BalloonTextChar"/>
    <w:uiPriority w:val="99"/>
    <w:semiHidden/>
    <w:unhideWhenUsed/>
    <w:rsid w:val="00E6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438"/>
  </w:style>
  <w:style w:type="paragraph" w:styleId="Footer">
    <w:name w:val="footer"/>
    <w:basedOn w:val="Normal"/>
    <w:link w:val="FooterChar"/>
    <w:uiPriority w:val="99"/>
    <w:unhideWhenUsed/>
    <w:rsid w:val="007F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438"/>
  </w:style>
  <w:style w:type="table" w:styleId="TableGrid">
    <w:name w:val="Table Grid"/>
    <w:basedOn w:val="TableNormal"/>
    <w:uiPriority w:val="39"/>
    <w:rsid w:val="007F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0438"/>
    <w:rPr>
      <w:color w:val="0563C1" w:themeColor="hyperlink"/>
      <w:u w:val="single"/>
    </w:rPr>
  </w:style>
  <w:style w:type="character" w:customStyle="1" w:styleId="UnresolvedMention">
    <w:name w:val="Unresolved Mention"/>
    <w:basedOn w:val="DefaultParagraphFont"/>
    <w:uiPriority w:val="99"/>
    <w:semiHidden/>
    <w:unhideWhenUsed/>
    <w:rsid w:val="007F0438"/>
    <w:rPr>
      <w:color w:val="605E5C"/>
      <w:shd w:val="clear" w:color="auto" w:fill="E1DFDD"/>
    </w:rPr>
  </w:style>
  <w:style w:type="character" w:customStyle="1" w:styleId="fontstyle01">
    <w:name w:val="fontstyle01"/>
    <w:basedOn w:val="DefaultParagraphFont"/>
    <w:rsid w:val="002F0D43"/>
    <w:rPr>
      <w:rFonts w:ascii="Lato-Regular" w:hAnsi="Lato-Regular" w:hint="default"/>
      <w:b w:val="0"/>
      <w:bCs w:val="0"/>
      <w:i w:val="0"/>
      <w:iCs w:val="0"/>
      <w:color w:val="000000"/>
      <w:sz w:val="20"/>
      <w:szCs w:val="20"/>
    </w:rPr>
  </w:style>
  <w:style w:type="character" w:customStyle="1" w:styleId="fontstyle21">
    <w:name w:val="fontstyle21"/>
    <w:basedOn w:val="DefaultParagraphFont"/>
    <w:rsid w:val="002F0D43"/>
    <w:rPr>
      <w:rFonts w:ascii="Lato-Bold" w:hAnsi="Lato-Bold" w:hint="default"/>
      <w:b/>
      <w:bCs/>
      <w:i w:val="0"/>
      <w:iCs w:val="0"/>
      <w:color w:val="000000"/>
      <w:sz w:val="14"/>
      <w:szCs w:val="14"/>
    </w:rPr>
  </w:style>
  <w:style w:type="character" w:customStyle="1" w:styleId="fontstyle11">
    <w:name w:val="fontstyle11"/>
    <w:basedOn w:val="DefaultParagraphFont"/>
    <w:rsid w:val="002F0D43"/>
    <w:rPr>
      <w:rFonts w:ascii="Lato-Regular" w:hAnsi="Lato-Regular" w:hint="default"/>
      <w:b w:val="0"/>
      <w:bCs w:val="0"/>
      <w:i w:val="0"/>
      <w:iCs w:val="0"/>
      <w:color w:val="000000"/>
      <w:sz w:val="18"/>
      <w:szCs w:val="18"/>
    </w:rPr>
  </w:style>
  <w:style w:type="character" w:styleId="FollowedHyperlink">
    <w:name w:val="FollowedHyperlink"/>
    <w:basedOn w:val="DefaultParagraphFont"/>
    <w:uiPriority w:val="99"/>
    <w:semiHidden/>
    <w:unhideWhenUsed/>
    <w:rsid w:val="00435C35"/>
    <w:rPr>
      <w:color w:val="954F72" w:themeColor="followedHyperlink"/>
      <w:u w:val="single"/>
    </w:rPr>
  </w:style>
  <w:style w:type="paragraph" w:styleId="BodyText">
    <w:name w:val="Body Text"/>
    <w:basedOn w:val="Normal"/>
    <w:link w:val="BodyTextChar"/>
    <w:uiPriority w:val="1"/>
    <w:qFormat/>
    <w:rsid w:val="00A52C82"/>
    <w:pPr>
      <w:widowControl w:val="0"/>
      <w:autoSpaceDE w:val="0"/>
      <w:autoSpaceDN w:val="0"/>
      <w:spacing w:after="0" w:line="240" w:lineRule="auto"/>
      <w:ind w:left="113"/>
      <w:jc w:val="both"/>
    </w:pPr>
    <w:rPr>
      <w:rFonts w:ascii="Lato" w:eastAsia="Lato" w:hAnsi="Lato" w:cs="Lato"/>
      <w:sz w:val="18"/>
      <w:szCs w:val="18"/>
    </w:rPr>
  </w:style>
  <w:style w:type="character" w:customStyle="1" w:styleId="BodyTextChar">
    <w:name w:val="Body Text Char"/>
    <w:basedOn w:val="DefaultParagraphFont"/>
    <w:link w:val="BodyText"/>
    <w:uiPriority w:val="1"/>
    <w:rsid w:val="00A52C82"/>
    <w:rPr>
      <w:rFonts w:ascii="Lato" w:eastAsia="Lato" w:hAnsi="Lato" w:cs="Lato"/>
      <w:sz w:val="18"/>
      <w:szCs w:val="18"/>
    </w:rPr>
  </w:style>
  <w:style w:type="character" w:styleId="PageNumber">
    <w:name w:val="page number"/>
    <w:basedOn w:val="DefaultParagraphFont"/>
    <w:uiPriority w:val="99"/>
    <w:semiHidden/>
    <w:unhideWhenUsed/>
    <w:rsid w:val="00A52C82"/>
  </w:style>
  <w:style w:type="paragraph" w:styleId="ListParagraph">
    <w:name w:val="List Paragraph"/>
    <w:basedOn w:val="Normal"/>
    <w:uiPriority w:val="34"/>
    <w:qFormat/>
    <w:rsid w:val="00247DB1"/>
    <w:pPr>
      <w:ind w:left="720"/>
      <w:contextualSpacing/>
    </w:pPr>
  </w:style>
  <w:style w:type="paragraph" w:styleId="BalloonText">
    <w:name w:val="Balloon Text"/>
    <w:basedOn w:val="Normal"/>
    <w:link w:val="BalloonTextChar"/>
    <w:uiPriority w:val="99"/>
    <w:semiHidden/>
    <w:unhideWhenUsed/>
    <w:rsid w:val="00E6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9203">
      <w:bodyDiv w:val="1"/>
      <w:marLeft w:val="0"/>
      <w:marRight w:val="0"/>
      <w:marTop w:val="0"/>
      <w:marBottom w:val="0"/>
      <w:divBdr>
        <w:top w:val="none" w:sz="0" w:space="0" w:color="auto"/>
        <w:left w:val="none" w:sz="0" w:space="0" w:color="auto"/>
        <w:bottom w:val="none" w:sz="0" w:space="0" w:color="auto"/>
        <w:right w:val="none" w:sz="0" w:space="0" w:color="auto"/>
      </w:divBdr>
    </w:div>
    <w:div w:id="1140609133">
      <w:bodyDiv w:val="1"/>
      <w:marLeft w:val="0"/>
      <w:marRight w:val="0"/>
      <w:marTop w:val="0"/>
      <w:marBottom w:val="0"/>
      <w:divBdr>
        <w:top w:val="none" w:sz="0" w:space="0" w:color="auto"/>
        <w:left w:val="none" w:sz="0" w:space="0" w:color="auto"/>
        <w:bottom w:val="none" w:sz="0" w:space="0" w:color="auto"/>
        <w:right w:val="none" w:sz="0" w:space="0" w:color="auto"/>
      </w:divBdr>
    </w:div>
    <w:div w:id="1450707807">
      <w:bodyDiv w:val="1"/>
      <w:marLeft w:val="0"/>
      <w:marRight w:val="0"/>
      <w:marTop w:val="0"/>
      <w:marBottom w:val="0"/>
      <w:divBdr>
        <w:top w:val="none" w:sz="0" w:space="0" w:color="auto"/>
        <w:left w:val="none" w:sz="0" w:space="0" w:color="auto"/>
        <w:bottom w:val="none" w:sz="0" w:space="0" w:color="auto"/>
        <w:right w:val="none" w:sz="0" w:space="0" w:color="auto"/>
      </w:divBdr>
    </w:div>
    <w:div w:id="1457875276">
      <w:bodyDiv w:val="1"/>
      <w:marLeft w:val="0"/>
      <w:marRight w:val="0"/>
      <w:marTop w:val="0"/>
      <w:marBottom w:val="0"/>
      <w:divBdr>
        <w:top w:val="none" w:sz="0" w:space="0" w:color="auto"/>
        <w:left w:val="none" w:sz="0" w:space="0" w:color="auto"/>
        <w:bottom w:val="none" w:sz="0" w:space="0" w:color="auto"/>
        <w:right w:val="none" w:sz="0" w:space="0" w:color="auto"/>
      </w:divBdr>
    </w:div>
    <w:div w:id="1539397144">
      <w:bodyDiv w:val="1"/>
      <w:marLeft w:val="0"/>
      <w:marRight w:val="0"/>
      <w:marTop w:val="0"/>
      <w:marBottom w:val="0"/>
      <w:divBdr>
        <w:top w:val="none" w:sz="0" w:space="0" w:color="auto"/>
        <w:left w:val="none" w:sz="0" w:space="0" w:color="auto"/>
        <w:bottom w:val="none" w:sz="0" w:space="0" w:color="auto"/>
        <w:right w:val="none" w:sz="0" w:space="0" w:color="auto"/>
      </w:divBdr>
    </w:div>
    <w:div w:id="1686051432">
      <w:bodyDiv w:val="1"/>
      <w:marLeft w:val="0"/>
      <w:marRight w:val="0"/>
      <w:marTop w:val="0"/>
      <w:marBottom w:val="0"/>
      <w:divBdr>
        <w:top w:val="none" w:sz="0" w:space="0" w:color="auto"/>
        <w:left w:val="none" w:sz="0" w:space="0" w:color="auto"/>
        <w:bottom w:val="none" w:sz="0" w:space="0" w:color="auto"/>
        <w:right w:val="none" w:sz="0" w:space="0" w:color="auto"/>
      </w:divBdr>
    </w:div>
    <w:div w:id="1732927450">
      <w:bodyDiv w:val="1"/>
      <w:marLeft w:val="0"/>
      <w:marRight w:val="0"/>
      <w:marTop w:val="0"/>
      <w:marBottom w:val="0"/>
      <w:divBdr>
        <w:top w:val="none" w:sz="0" w:space="0" w:color="auto"/>
        <w:left w:val="none" w:sz="0" w:space="0" w:color="auto"/>
        <w:bottom w:val="none" w:sz="0" w:space="0" w:color="auto"/>
        <w:right w:val="none" w:sz="0" w:space="0" w:color="auto"/>
      </w:divBdr>
    </w:div>
    <w:div w:id="18875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creativecommons.org/licenses/by/4.0/deed.fr"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itf-academ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tp.com/" TargetMode="External"/><Relationship Id="rId20" Type="http://schemas.openxmlformats.org/officeDocument/2006/relationships/hyperlink" Target="https://creativecommon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https://orcid.org/0000-0001-7952-7603"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s://orcid.org/0000-0003-1600-4172" TargetMode="External"/><Relationship Id="rId14" Type="http://schemas.openxmlformats.org/officeDocument/2006/relationships/header" Target="header2.xml"/><Relationship Id="rId22" Type="http://schemas.openxmlformats.org/officeDocument/2006/relationships/hyperlink" Target="https://creativecommons.org/licenses/by/4.0/legalco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s://doi.org/10.52383/itfcoaching.v28i82.14%20" TargetMode="External"/><Relationship Id="rId2" Type="http://schemas.openxmlformats.org/officeDocument/2006/relationships/hyperlink" Target="http://www.itfcoachingreview.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0B99-72E2-4515-887B-D5DCB175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Aguilera</dc:creator>
  <cp:lastModifiedBy>Lea Grujic</cp:lastModifiedBy>
  <cp:revision>4</cp:revision>
  <cp:lastPrinted>2021-03-31T15:10:00Z</cp:lastPrinted>
  <dcterms:created xsi:type="dcterms:W3CDTF">2021-03-30T13:14:00Z</dcterms:created>
  <dcterms:modified xsi:type="dcterms:W3CDTF">2021-03-31T15:10:00Z</dcterms:modified>
</cp:coreProperties>
</file>